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hAnsi="Times New Roman" w:cs="Times New Roman" w:eastAsiaTheme="minorEastAsia"/>
          <w:color w:val="auto"/>
          <w:sz w:val="44"/>
          <w:szCs w:val="44"/>
        </w:rPr>
      </w:pPr>
      <w:r>
        <w:rPr>
          <w:rFonts w:hint="eastAsia" w:ascii="Times New Roman" w:hAnsi="Times New Roman" w:cs="Times New Roman" w:eastAsiaTheme="minorEastAsia"/>
          <w:color w:val="auto"/>
          <w:sz w:val="44"/>
          <w:szCs w:val="44"/>
          <w:lang w:val="en-US" w:eastAsia="zh-CN"/>
        </w:rPr>
        <w:t>2022</w:t>
      </w:r>
      <w:r>
        <w:rPr>
          <w:rFonts w:hint="eastAsia" w:ascii="Times New Roman" w:hAnsi="Times New Roman" w:cs="Times New Roman" w:eastAsiaTheme="minorEastAsia"/>
          <w:color w:val="auto"/>
          <w:sz w:val="44"/>
          <w:szCs w:val="44"/>
        </w:rPr>
        <w:t>学年院康复</w:t>
      </w:r>
      <w:r>
        <w:rPr>
          <w:rFonts w:hint="eastAsia" w:ascii="Times New Roman" w:hAnsi="Times New Roman" w:cs="Times New Roman" w:eastAsiaTheme="minorEastAsia"/>
          <w:color w:val="auto"/>
          <w:sz w:val="44"/>
          <w:szCs w:val="44"/>
          <w:lang w:val="en-US" w:eastAsia="zh-CN"/>
        </w:rPr>
        <w:t>实训</w:t>
      </w:r>
      <w:r>
        <w:rPr>
          <w:rFonts w:hint="eastAsia" w:ascii="Times New Roman" w:hAnsi="Times New Roman" w:cs="Times New Roman" w:eastAsiaTheme="minorEastAsia"/>
          <w:color w:val="auto"/>
          <w:sz w:val="44"/>
          <w:szCs w:val="44"/>
        </w:rPr>
        <w:t>实验室设备新增</w:t>
      </w:r>
      <w:r>
        <w:rPr>
          <w:rFonts w:ascii="Times New Roman" w:hAnsi="Times New Roman" w:cs="Times New Roman" w:eastAsiaTheme="minorEastAsia"/>
          <w:color w:val="auto"/>
          <w:sz w:val="44"/>
          <w:szCs w:val="44"/>
        </w:rPr>
        <w:t>项目用户需求书</w:t>
      </w:r>
    </w:p>
    <w:p>
      <w:pPr>
        <w:rPr>
          <w:rFonts w:eastAsiaTheme="minorEastAsia"/>
          <w:b/>
          <w:color w:val="auto"/>
          <w:sz w:val="24"/>
        </w:rPr>
      </w:pPr>
    </w:p>
    <w:p>
      <w:pPr>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一、采购范围</w:t>
      </w:r>
    </w:p>
    <w:p>
      <w:pPr>
        <w:keepNext w:val="0"/>
        <w:keepLines w:val="0"/>
        <w:pageBreakBefore w:val="0"/>
        <w:kinsoku/>
        <w:wordWrap/>
        <w:overflowPunct/>
        <w:topLinePunct w:val="0"/>
        <w:autoSpaceDE/>
        <w:autoSpaceDN/>
        <w:bidi w:val="0"/>
        <w:adjustRightInd/>
        <w:snapToGrid/>
        <w:spacing w:line="4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1、云康医学与健康学院需采购实验器材一批，用于建设康复</w:t>
      </w:r>
      <w:r>
        <w:rPr>
          <w:rFonts w:hint="eastAsia" w:ascii="华文仿宋" w:hAnsi="华文仿宋" w:eastAsia="华文仿宋" w:cs="华文仿宋"/>
          <w:sz w:val="32"/>
          <w:szCs w:val="32"/>
          <w:lang w:val="en-US" w:eastAsia="zh-CN"/>
        </w:rPr>
        <w:t>实训</w:t>
      </w:r>
      <w:r>
        <w:rPr>
          <w:rFonts w:hint="eastAsia" w:ascii="华文仿宋" w:hAnsi="华文仿宋" w:eastAsia="华文仿宋" w:cs="华文仿宋"/>
          <w:sz w:val="32"/>
          <w:szCs w:val="32"/>
        </w:rPr>
        <w:t>实验室，满足云康医学与健康学院教学需要。</w:t>
      </w:r>
    </w:p>
    <w:p>
      <w:pPr>
        <w:keepNext w:val="0"/>
        <w:keepLines w:val="0"/>
        <w:pageBreakBefore w:val="0"/>
        <w:kinsoku/>
        <w:wordWrap/>
        <w:overflowPunct/>
        <w:topLinePunct w:val="0"/>
        <w:autoSpaceDE/>
        <w:autoSpaceDN/>
        <w:bidi w:val="0"/>
        <w:adjustRightInd/>
        <w:snapToGrid/>
        <w:spacing w:line="4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2、项目从</w:t>
      </w:r>
      <w:r>
        <w:rPr>
          <w:rFonts w:hint="eastAsia" w:ascii="华文仿宋" w:hAnsi="华文仿宋" w:eastAsia="华文仿宋" w:cs="华文仿宋"/>
          <w:sz w:val="32"/>
          <w:szCs w:val="32"/>
          <w:lang w:val="en-US" w:eastAsia="zh-CN"/>
        </w:rPr>
        <w:t>2022年度教学仪器设备预算列支</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预算金额为***</w:t>
      </w:r>
      <w:bookmarkStart w:id="0" w:name="_GoBack"/>
      <w:bookmarkEnd w:id="0"/>
      <w:r>
        <w:rPr>
          <w:rFonts w:hint="eastAsia" w:ascii="华文仿宋" w:hAnsi="华文仿宋" w:eastAsia="华文仿宋" w:cs="华文仿宋"/>
          <w:sz w:val="32"/>
          <w:szCs w:val="32"/>
          <w:lang w:val="en-US" w:eastAsia="zh-CN"/>
        </w:rPr>
        <w:t>万元</w:t>
      </w:r>
      <w:r>
        <w:rPr>
          <w:rFonts w:hint="eastAsia" w:ascii="华文仿宋" w:hAnsi="华文仿宋" w:eastAsia="华文仿宋" w:cs="华文仿宋"/>
          <w:sz w:val="32"/>
          <w:szCs w:val="32"/>
        </w:rPr>
        <w:t>明细如下表：</w:t>
      </w:r>
    </w:p>
    <w:tbl>
      <w:tblPr>
        <w:tblStyle w:val="10"/>
        <w:tblW w:w="7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630"/>
        <w:gridCol w:w="753"/>
        <w:gridCol w:w="139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dxa"/>
            <w:vAlign w:val="center"/>
          </w:tcPr>
          <w:p>
            <w:pPr>
              <w:pStyle w:val="20"/>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2630" w:type="dxa"/>
            <w:vAlign w:val="center"/>
          </w:tcPr>
          <w:p>
            <w:pPr>
              <w:pStyle w:val="20"/>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w:t>
            </w:r>
          </w:p>
        </w:tc>
        <w:tc>
          <w:tcPr>
            <w:tcW w:w="753"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c>
          <w:tcPr>
            <w:tcW w:w="1397"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192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694" w:type="dxa"/>
            <w:vAlign w:val="center"/>
          </w:tcPr>
          <w:p>
            <w:pPr>
              <w:pStyle w:val="20"/>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 xml:space="preserve">多关节等速训练与测试系统 </w:t>
            </w:r>
          </w:p>
        </w:tc>
        <w:tc>
          <w:tcPr>
            <w:tcW w:w="75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1</w:t>
            </w: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套</w:t>
            </w:r>
          </w:p>
        </w:tc>
        <w:tc>
          <w:tcPr>
            <w:tcW w:w="192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694" w:type="dxa"/>
            <w:vAlign w:val="center"/>
          </w:tcPr>
          <w:p>
            <w:pPr>
              <w:pStyle w:val="20"/>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6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下肢智能反馈训练系统</w:t>
            </w:r>
          </w:p>
        </w:tc>
        <w:tc>
          <w:tcPr>
            <w:tcW w:w="75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1</w:t>
            </w:r>
          </w:p>
        </w:tc>
        <w:tc>
          <w:tcPr>
            <w:tcW w:w="139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heme="minorEastAsia" w:hAnsiTheme="minorEastAsia" w:eastAsiaTheme="minorEastAsia" w:cstheme="minorEastAsia"/>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c>
          <w:tcPr>
            <w:tcW w:w="1920" w:type="dxa"/>
            <w:vAlign w:val="center"/>
          </w:tcPr>
          <w:p>
            <w:pPr>
              <w:keepNext w:val="0"/>
              <w:keepLines w:val="0"/>
              <w:pageBreakBefore w:val="0"/>
              <w:kinsoku/>
              <w:wordWrap/>
              <w:overflowPunct/>
              <w:topLinePunct w:val="0"/>
              <w:autoSpaceDE/>
              <w:autoSpaceDN/>
              <w:bidi w:val="0"/>
              <w:adjustRightInd/>
              <w:snapToGrid/>
              <w:spacing w:line="440" w:lineRule="exact"/>
              <w:jc w:val="center"/>
              <w:rPr>
                <w:rFonts w:asciiTheme="minorEastAsia" w:hAnsiTheme="minorEastAsia" w:eastAsiaTheme="minorEastAsia" w:cstheme="minorEastAsia"/>
                <w:sz w:val="18"/>
                <w:szCs w:val="18"/>
              </w:rPr>
            </w:pPr>
          </w:p>
        </w:tc>
      </w:tr>
    </w:tbl>
    <w:p>
      <w:pPr>
        <w:keepNext w:val="0"/>
        <w:keepLines w:val="0"/>
        <w:pageBreakBefore w:val="0"/>
        <w:kinsoku/>
        <w:wordWrap/>
        <w:overflowPunct/>
        <w:topLinePunct w:val="0"/>
        <w:autoSpaceDE/>
        <w:autoSpaceDN/>
        <w:bidi w:val="0"/>
        <w:adjustRightInd/>
        <w:snapToGrid/>
        <w:spacing w:line="44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3、供应商报价需包括货物及相关附件的设计、采购、制造、检测、试验、包装、送货、安装、验收、培训、税费、技术服务（包括技术资料、图纸的提供）、保修期保障、其它费用等一切支出。</w:t>
      </w:r>
    </w:p>
    <w:p>
      <w:pPr>
        <w:rPr>
          <w:rFonts w:ascii="华文仿宋" w:hAnsi="华文仿宋" w:eastAsia="华文仿宋" w:cs="华文仿宋"/>
          <w:b/>
          <w:sz w:val="32"/>
          <w:szCs w:val="32"/>
        </w:rPr>
      </w:pPr>
      <w:r>
        <w:rPr>
          <w:rFonts w:hint="eastAsia" w:ascii="华文仿宋" w:hAnsi="华文仿宋" w:eastAsia="华文仿宋" w:cs="华文仿宋"/>
          <w:b/>
          <w:sz w:val="32"/>
          <w:szCs w:val="32"/>
        </w:rPr>
        <w:t>二、商务需求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1、对供应商的资格要求：国内注册（指按国家有关规定要求注册）注册资金100万元（含100万元）以上，具备独立法人资格，注册生产或经营本次采购货物的合格供应商，同时需要提供近三年业绩清单。</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2、采购样板：投标方于投标同时，需根据“设备技术参数”的要求提供以下样板运送到评标现场，作为评标评分依据。供应商提供样板、样材，根据甲方确认的样板进行生产。样板清单如下：</w:t>
      </w:r>
    </w:p>
    <w:tbl>
      <w:tblPr>
        <w:tblStyle w:val="1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002"/>
        <w:gridCol w:w="4065"/>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15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类别</w:t>
            </w:r>
          </w:p>
        </w:tc>
        <w:tc>
          <w:tcPr>
            <w:tcW w:w="1002"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4065"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设备名称</w:t>
            </w:r>
          </w:p>
        </w:tc>
        <w:tc>
          <w:tcPr>
            <w:tcW w:w="2191" w:type="dxa"/>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送样数量（单位）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1502" w:type="dxa"/>
            <w:vAlign w:val="center"/>
          </w:tcPr>
          <w:p>
            <w:pPr>
              <w:jc w:val="center"/>
              <w:rPr>
                <w:rFonts w:asciiTheme="minorEastAsia" w:hAnsiTheme="minorEastAsia" w:eastAsiaTheme="minorEastAsia" w:cstheme="minorEastAsia"/>
                <w:sz w:val="18"/>
                <w:szCs w:val="18"/>
                <w:highlight w:val="yellow"/>
              </w:rPr>
            </w:pPr>
          </w:p>
        </w:tc>
        <w:tc>
          <w:tcPr>
            <w:tcW w:w="1002" w:type="dxa"/>
            <w:vAlign w:val="center"/>
          </w:tcPr>
          <w:p>
            <w:pPr>
              <w:jc w:val="center"/>
              <w:rPr>
                <w:rFonts w:asciiTheme="minorEastAsia" w:hAnsiTheme="minorEastAsia" w:eastAsiaTheme="minorEastAsia" w:cstheme="minorEastAsia"/>
                <w:sz w:val="18"/>
                <w:szCs w:val="18"/>
                <w:highlight w:val="yellow"/>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kern w:val="0"/>
                <w:sz w:val="18"/>
                <w:szCs w:val="18"/>
                <w:highlight w:val="yellow"/>
              </w:rPr>
            </w:pPr>
          </w:p>
        </w:tc>
        <w:tc>
          <w:tcPr>
            <w:tcW w:w="2191" w:type="dxa"/>
            <w:vAlign w:val="center"/>
          </w:tcPr>
          <w:p>
            <w:pPr>
              <w:jc w:val="center"/>
              <w:rPr>
                <w:rFonts w:asciiTheme="minorEastAsia" w:hAnsiTheme="minorEastAsia" w:eastAsiaTheme="minorEastAsia" w:cs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jc w:val="center"/>
              <w:rPr>
                <w:rFonts w:asciiTheme="minorEastAsia" w:hAnsiTheme="minorEastAsia" w:eastAsiaTheme="minorEastAsia" w:cstheme="minorEastAsia"/>
                <w:sz w:val="18"/>
                <w:szCs w:val="18"/>
                <w:highlight w:val="yellow"/>
              </w:rPr>
            </w:pPr>
          </w:p>
        </w:tc>
        <w:tc>
          <w:tcPr>
            <w:tcW w:w="1002" w:type="dxa"/>
            <w:vAlign w:val="center"/>
          </w:tcPr>
          <w:p>
            <w:pPr>
              <w:jc w:val="center"/>
              <w:rPr>
                <w:rFonts w:asciiTheme="minorEastAsia" w:hAnsiTheme="minorEastAsia" w:eastAsiaTheme="minorEastAsia" w:cstheme="minorEastAsia"/>
                <w:sz w:val="18"/>
                <w:szCs w:val="18"/>
                <w:highlight w:val="yellow"/>
              </w:rPr>
            </w:pPr>
          </w:p>
        </w:tc>
        <w:tc>
          <w:tcPr>
            <w:tcW w:w="406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18"/>
                <w:szCs w:val="18"/>
                <w:highlight w:val="yellow"/>
              </w:rPr>
            </w:pPr>
          </w:p>
        </w:tc>
        <w:tc>
          <w:tcPr>
            <w:tcW w:w="2191" w:type="dxa"/>
            <w:vAlign w:val="center"/>
          </w:tcPr>
          <w:p>
            <w:pPr>
              <w:jc w:val="center"/>
              <w:rPr>
                <w:rFonts w:asciiTheme="minorEastAsia" w:hAnsiTheme="minorEastAsia" w:eastAsiaTheme="minorEastAsia" w:cs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jc w:val="center"/>
              <w:rPr>
                <w:rFonts w:asciiTheme="minorEastAsia" w:hAnsiTheme="minorEastAsia" w:eastAsiaTheme="minorEastAsia" w:cstheme="minorEastAsia"/>
                <w:sz w:val="18"/>
                <w:szCs w:val="18"/>
                <w:highlight w:val="yellow"/>
              </w:rPr>
            </w:pPr>
          </w:p>
        </w:tc>
        <w:tc>
          <w:tcPr>
            <w:tcW w:w="1002" w:type="dxa"/>
            <w:vAlign w:val="center"/>
          </w:tcPr>
          <w:p>
            <w:pPr>
              <w:jc w:val="center"/>
              <w:rPr>
                <w:rFonts w:asciiTheme="minorEastAsia" w:hAnsiTheme="minorEastAsia" w:eastAsiaTheme="minorEastAsia" w:cstheme="minorEastAsia"/>
                <w:sz w:val="18"/>
                <w:szCs w:val="18"/>
                <w:highlight w:val="yellow"/>
              </w:rPr>
            </w:pPr>
          </w:p>
        </w:tc>
        <w:tc>
          <w:tcPr>
            <w:tcW w:w="406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color w:val="000000"/>
                <w:sz w:val="18"/>
                <w:szCs w:val="18"/>
                <w:highlight w:val="yellow"/>
              </w:rPr>
            </w:pPr>
          </w:p>
        </w:tc>
        <w:tc>
          <w:tcPr>
            <w:tcW w:w="2191" w:type="dxa"/>
            <w:vAlign w:val="center"/>
          </w:tcPr>
          <w:p>
            <w:pPr>
              <w:jc w:val="center"/>
              <w:rPr>
                <w:rFonts w:asciiTheme="minorEastAsia" w:hAnsiTheme="minorEastAsia" w:eastAsiaTheme="minorEastAsia" w:cstheme="minorEastAsia"/>
                <w:sz w:val="18"/>
                <w:szCs w:val="18"/>
                <w:highlight w:val="yellow"/>
              </w:rPr>
            </w:pPr>
          </w:p>
        </w:tc>
      </w:tr>
    </w:tbl>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3、包装要求：内用防磨泡沫，外用硬纸，包装带捆绑，按类型堆放。</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4、运输要求：采用全国性专业货运公司或铁路运输部门承运，能确保产品安全，准时到达目的地。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5、安装要求：安装人员必须是经过专业培训的专业人员，安装过程将严格按照规范的程序实施，确保安装货物和周边设施的安全。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6、合同签字生效后，以甲方发出书面通知之日起，</w:t>
      </w:r>
      <w:r>
        <w:rPr>
          <w:rFonts w:hint="eastAsia" w:ascii="华文仿宋" w:hAnsi="华文仿宋" w:eastAsia="华文仿宋" w:cs="华文仿宋"/>
          <w:sz w:val="32"/>
          <w:szCs w:val="32"/>
          <w:lang w:val="en-US" w:eastAsia="zh-CN"/>
        </w:rPr>
        <w:t>4</w:t>
      </w:r>
      <w:r>
        <w:rPr>
          <w:rFonts w:ascii="华文仿宋" w:hAnsi="华文仿宋" w:eastAsia="华文仿宋" w:cs="华文仿宋"/>
          <w:sz w:val="32"/>
          <w:szCs w:val="32"/>
        </w:rPr>
        <w:t>5</w:t>
      </w:r>
      <w:r>
        <w:rPr>
          <w:rFonts w:hint="eastAsia" w:ascii="华文仿宋" w:hAnsi="华文仿宋" w:eastAsia="华文仿宋" w:cs="华文仿宋"/>
          <w:sz w:val="32"/>
          <w:szCs w:val="32"/>
        </w:rPr>
        <w:t>个日历天内将货物运达目的地并安装完毕。</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7、付款方式：</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（1）工程安装完工后，甲乙双方办理正式竣工验收及结算手续后，甲方于10个工作日内支付结算款的95%。</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华文仿宋" w:hAnsi="华文仿宋" w:eastAsia="华文仿宋" w:cs="华文仿宋"/>
          <w:b/>
          <w:sz w:val="32"/>
          <w:szCs w:val="32"/>
          <w:highlight w:val="none"/>
        </w:rPr>
      </w:pPr>
      <w:r>
        <w:rPr>
          <w:rFonts w:hint="eastAsia" w:ascii="华文仿宋" w:hAnsi="华文仿宋" w:eastAsia="华文仿宋" w:cs="华文仿宋"/>
          <w:sz w:val="32"/>
          <w:szCs w:val="32"/>
          <w:highlight w:val="none"/>
        </w:rPr>
        <w:t>（2）余款5%作为质量保证金，甲方在1年产品质量保证期满后10个工作日内无息向乙方结清余下货款。</w:t>
      </w:r>
    </w:p>
    <w:p>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三、技术需求</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1、设备数量及技术参数需求：</w:t>
      </w:r>
    </w:p>
    <w:tbl>
      <w:tblPr>
        <w:tblStyle w:val="10"/>
        <w:tblW w:w="1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3"/>
        <w:gridCol w:w="5322"/>
        <w:gridCol w:w="709"/>
        <w:gridCol w:w="7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jc w:val="center"/>
              <w:rPr>
                <w:rFonts w:hint="eastAsia" w:ascii="宋体" w:hAnsi="宋体" w:cs="Times New Roman"/>
                <w:color w:val="000000"/>
                <w:sz w:val="21"/>
                <w:szCs w:val="21"/>
              </w:rPr>
            </w:pPr>
            <w:r>
              <w:rPr>
                <w:rFonts w:hint="eastAsia" w:ascii="宋体" w:hAnsi="宋体" w:cs="Times New Roman"/>
                <w:color w:val="000000"/>
                <w:sz w:val="21"/>
                <w:szCs w:val="21"/>
              </w:rPr>
              <w:t>序号</w:t>
            </w:r>
          </w:p>
        </w:tc>
        <w:tc>
          <w:tcPr>
            <w:tcW w:w="1923" w:type="dxa"/>
            <w:vAlign w:val="center"/>
          </w:tcPr>
          <w:p>
            <w:pPr>
              <w:jc w:val="center"/>
              <w:rPr>
                <w:rFonts w:hint="eastAsia" w:ascii="宋体" w:hAnsi="宋体" w:cs="Times New Roman"/>
                <w:color w:val="000000"/>
                <w:sz w:val="21"/>
                <w:szCs w:val="21"/>
              </w:rPr>
            </w:pPr>
            <w:r>
              <w:rPr>
                <w:rFonts w:hint="eastAsia" w:ascii="宋体" w:hAnsi="宋体" w:cs="Times New Roman"/>
                <w:color w:val="000000"/>
                <w:sz w:val="21"/>
                <w:szCs w:val="21"/>
              </w:rPr>
              <w:t>名称</w:t>
            </w:r>
          </w:p>
        </w:tc>
        <w:tc>
          <w:tcPr>
            <w:tcW w:w="5322" w:type="dxa"/>
          </w:tcPr>
          <w:p>
            <w:pPr>
              <w:jc w:val="center"/>
              <w:rPr>
                <w:rFonts w:hint="eastAsia" w:ascii="宋体" w:hAnsi="宋体" w:cs="Times New Roman"/>
                <w:color w:val="000000"/>
                <w:sz w:val="21"/>
                <w:szCs w:val="21"/>
              </w:rPr>
            </w:pPr>
            <w:r>
              <w:rPr>
                <w:rFonts w:hint="eastAsia" w:ascii="宋体" w:hAnsi="宋体" w:cs="Times New Roman"/>
                <w:color w:val="000000"/>
                <w:sz w:val="21"/>
                <w:szCs w:val="21"/>
              </w:rPr>
              <w:t>规格/型号/技术指标</w:t>
            </w:r>
          </w:p>
        </w:tc>
        <w:tc>
          <w:tcPr>
            <w:tcW w:w="709" w:type="dxa"/>
            <w:vAlign w:val="center"/>
          </w:tcPr>
          <w:p>
            <w:pPr>
              <w:jc w:val="center"/>
              <w:rPr>
                <w:rFonts w:hint="eastAsia" w:ascii="宋体" w:hAnsi="宋体" w:cs="Times New Roman"/>
                <w:color w:val="000000"/>
                <w:sz w:val="21"/>
                <w:szCs w:val="21"/>
              </w:rPr>
            </w:pPr>
            <w:r>
              <w:rPr>
                <w:rFonts w:hint="eastAsia" w:ascii="宋体" w:hAnsi="宋体" w:cs="Times New Roman"/>
                <w:color w:val="000000"/>
                <w:sz w:val="21"/>
                <w:szCs w:val="21"/>
              </w:rPr>
              <w:t>数量</w:t>
            </w:r>
          </w:p>
        </w:tc>
        <w:tc>
          <w:tcPr>
            <w:tcW w:w="734" w:type="dxa"/>
            <w:vAlign w:val="center"/>
          </w:tcPr>
          <w:p>
            <w:pPr>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单位</w:t>
            </w:r>
          </w:p>
        </w:tc>
        <w:tc>
          <w:tcPr>
            <w:tcW w:w="1502" w:type="dxa"/>
            <w:vAlign w:val="center"/>
          </w:tcPr>
          <w:p>
            <w:pPr>
              <w:jc w:val="center"/>
              <w:rPr>
                <w:rFonts w:hint="eastAsia" w:ascii="宋体" w:hAnsi="宋体" w:cs="Times New Roman"/>
                <w:color w:val="000000"/>
                <w:sz w:val="21"/>
                <w:szCs w:val="21"/>
              </w:rPr>
            </w:pPr>
            <w:r>
              <w:rPr>
                <w:rFonts w:hint="eastAsia" w:ascii="宋体" w:hAnsi="宋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704" w:type="dxa"/>
            <w:tcBorders>
              <w:bottom w:val="single" w:color="auto" w:sz="4" w:space="0"/>
            </w:tcBorders>
            <w:vAlign w:val="center"/>
          </w:tcPr>
          <w:p>
            <w:pPr>
              <w:jc w:val="center"/>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多关节等速训练与测试系统</w:t>
            </w:r>
          </w:p>
        </w:tc>
        <w:tc>
          <w:tcPr>
            <w:tcW w:w="5322" w:type="dxa"/>
            <w:tcBorders>
              <w:bottom w:val="single" w:color="auto" w:sz="4" w:space="0"/>
            </w:tcBorders>
            <w:vAlign w:val="center"/>
          </w:tcPr>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▲1）具有持续被动、等长、等速、等张，向心/向心、向心/离心、离心/向心、离心/离心，共8种测试和训练运动模式。</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▲2）软件系统配置0重力功能，能够去除最终报告中的重力影响，还可在测试评估或训练过程中，从体感上去除重力的影响。</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3）标配用于髋、膝、踝关节测试训练的专用配件。</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4）可增配肩、肘、腕关节测试训练的专用配件。</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▲5）动力头参数：</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向心力矩可达630Nm</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离心力矩可达630Nm</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向心速度可达500°/s</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离心速度可达360°/s</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持续被动速度可达360°/s</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最低速度可达0.05°/s</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动力头转轴可360°任意旋转</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6）座椅靠背深度可调节，调节范围为0-125mm，可无极调节。</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7）座椅靠背可进行倾斜角度调节，调节范围为0-90°。座椅符合人体工程学设计，确保坐位和卧位的稳定和舒适性。</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8）座椅可进行旋转调节，调节范围为0-360°，可无极调节。</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9）座椅基座可在滑轨上移动调节，调节范围为0-607mm。</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10）座椅可在基座滑轨上移动调节，调节范围为0-159mm。</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11）座椅椅面可进行倾斜调节，调节范围为：0-6.8°。</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12）动力头高度可电动调节，调节范围为0-300mm，可无极调节。</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13）动力头可水平旋转，旋转范围为0-360°，可无极调节。</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14）动力头可进行倾斜调节，调节范围为-20°-90°。</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15）所有座椅及动力头位置参数信息都可以记录在特定患者的特定运动模式中，并在之后每次测试或训练前给予治疗师提示，确保测试评估和训练的可重复性，从而确保了测试评估结果的有效性。</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16）测试或训练中可实时反馈：当组内峰力矩、实时力矩、力矩时间曲线、力矩位置曲线、单次力矩柱状图、多次力矩柱状图，并可在训练时为患者设定个性化的训练目标力矩值提示。</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17）可进行测试和训练的关节运动模式共9种，包括：</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髋关节：外展内收，屈伸，内旋外旋。</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膝关节：屈伸（坐位），屈伸（俯卧位），胫骨内旋外旋。</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踝关节：屈伸（仰卧位），屈伸（俯卧位），内翻外翻。</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18）系统软件具有智能痉挛检测功能和痉挛保护功能，最大程度降低肌张力异常患者在训练中的风险。监测到痉挛发生时，设备缓慢反转至关节活动范围末端并停止；痉挛保护激活时伴有声音提示信号；若反转后再次监测到痉挛发生，重新激活痉挛保护。</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19）提供标准的测试和训练模板，并且可在系统软件中根据康复中心需求，新增不同的测试或训练模板。</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20）软件系统提供强大的方案编辑系统，能够进行复制和更改顺序的操作，能够编辑的内容包括：阻力模式、运动模式、热身及正式的次数/时间及休息时间、运动速度、缓冲强度、离心力矩限制、离心力矩阈值，针对等张模式的力矩值，针对等长的力矩阈值、收缩时长、休息时长，针对持续被动的初始速度、加速次数、末端暂停时间等。</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21）在测试评估或训练准备阶段能够根据患者具体情况设置个性化关节运动范围，并自动进行软件限位保护。在软件限位确定之后，软件系统会自动给出硬件限位的具体位置。硬件限位可以移动至任意特定位置，起到安全保险的作用。</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22）在测试或训练完成后，软件系统自动生成相应报告，提供不少于10种不同的报告模板，报告模板包括：简略报告、详细报告、平均力矩报告、多曲线重叠报告、图形汇总报告、组间峰力矩对比报告、组内峰力矩对比报告、组内报告、等长报告、进展报告，包括相关数据、力矩时间曲线、力矩位置曲线、柱状图。</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23）报告中的数据包括：峰力矩，峰力矩体重比，平均峰力矩，平均峰力矩体重比，平均力矩，峰力矩角度，达到峰力矩时间，力量衰减时间，运动活动范围，最大做功，最大做功体重比，平均功率，平均功率体重比，总做功，耐力比等。</w:t>
            </w:r>
          </w:p>
        </w:tc>
        <w:tc>
          <w:tcPr>
            <w:tcW w:w="709" w:type="dxa"/>
            <w:tcBorders>
              <w:bottom w:val="single" w:color="auto" w:sz="4" w:space="0"/>
            </w:tcBorders>
            <w:vAlign w:val="center"/>
          </w:tcPr>
          <w:p>
            <w:pPr>
              <w:jc w:val="center"/>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w:t>
            </w:r>
          </w:p>
        </w:tc>
        <w:tc>
          <w:tcPr>
            <w:tcW w:w="734" w:type="dxa"/>
            <w:tcBorders>
              <w:bottom w:val="single" w:color="auto" w:sz="4" w:space="0"/>
            </w:tcBorders>
            <w:vAlign w:val="center"/>
          </w:tcPr>
          <w:p>
            <w:pPr>
              <w:jc w:val="center"/>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套</w:t>
            </w:r>
          </w:p>
        </w:tc>
        <w:tc>
          <w:tcPr>
            <w:tcW w:w="1502" w:type="dxa"/>
            <w:tcBorders>
              <w:bottom w:val="single" w:color="auto" w:sz="4" w:space="0"/>
            </w:tcBorders>
            <w:vAlign w:val="center"/>
          </w:tcPr>
          <w:p>
            <w:pPr>
              <w:jc w:val="left"/>
              <w:rPr>
                <w:rFonts w:hint="eastAsia" w:ascii="宋体" w:hAnsi="宋体" w:cs="Times New Roman"/>
                <w:color w:val="0000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2</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下肢智能反馈训练系统</w:t>
            </w:r>
          </w:p>
        </w:tc>
        <w:tc>
          <w:tcPr>
            <w:tcW w:w="53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1、床体表面采用特种合成皮革，具有耐高温，阻燃及防刮等性能特征。</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2、设备配置独立减重绑带，能够根据患者状态调整减重量。</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▲3、床体具备后仰功能，能充分拉伸髂腰肌，缓解髂腰肌痉挛和挛缩。</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4、站立角度侦测采用无接触角度传感技术，非接触式检测、性能稳定、使用寿命长、高灵敏度。</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5、设备采用多种训练方式，被动模式、主被动模式。</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6、被动模式通过设备带动患者下肢运动，维持患者下肢的肢体功能。</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7、主被动模式中设备能够实时监测患者下肢的配合用力状态，并主动改变设备的训练速度，配合患者进行持续的下肢踏步运动。</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8、多功能脚踏板具备有多个活动方向，可做足内外翻角度、跖屈和背屈的角度与足间距调整，能够矫正患者足型，提供训练生物反馈的功能。</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9、多功能脚踏板采用优质环保软胶，表面具有防滑纹理设计。</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▲10、多功能踏板的跖屈和背屈的调整角度范围：±15°、足内外翻调整角度范围：±15°。</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11、跟踪模式，设备能实时跟踪显示患者腿部受到电机扭矩的大小，通过是连续的曲线图显示，治疗师能根据图表观察患者下肢肌张力的变化，监控患者的训练状态。力矩显示范围：-120～120NM。</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▲12、评估模式：设备能显示患者左右腿在训练中的僵硬度，判断患者训练前/后的张力变化。力矩显示范围：0～60NM。</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▲13、痉挛侦察功能：自动检测患者训练异常，当痉挛发生时以较低的速度反向运动至起始角度，休息后根据速度降低值降低训练速度，然后重新开始训练，缓解患者下肢痉挛，保证患者训练安全。</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14、床体硬件参数：</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床体升降高度范围：45～86cm；</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床体站立角度范围：0～80°；</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床体后仰角度范围：0～10°；</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腿长调节范围：0～25cm。</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15、训练参数：</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踏步角度范围：0～25°；</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踏步速度范围：1～80步/min；</w:t>
            </w:r>
          </w:p>
          <w:p>
            <w:pPr>
              <w:jc w:val="left"/>
              <w:rPr>
                <w:rFonts w:hint="eastAsia" w:ascii="宋体" w:hAnsi="宋体" w:cs="Times New Roman"/>
                <w:color w:val="000000"/>
                <w:sz w:val="18"/>
                <w:szCs w:val="18"/>
                <w:lang w:val="en-US" w:eastAsia="zh-CN"/>
              </w:rPr>
            </w:pPr>
            <w:r>
              <w:rPr>
                <w:rFonts w:hint="eastAsia" w:ascii="宋体" w:hAnsi="宋体" w:cs="Times New Roman"/>
                <w:color w:val="000000"/>
                <w:sz w:val="18"/>
                <w:szCs w:val="18"/>
                <w:lang w:val="en-US" w:eastAsia="zh-CN"/>
              </w:rPr>
              <w:t>治疗时间：1～90min。</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1</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台</w:t>
            </w:r>
          </w:p>
        </w:tc>
        <w:tc>
          <w:tcPr>
            <w:tcW w:w="150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000000"/>
                <w:sz w:val="18"/>
                <w:szCs w:val="18"/>
                <w:lang w:val="en-US" w:eastAsia="zh-CN"/>
              </w:rPr>
            </w:pPr>
          </w:p>
        </w:tc>
      </w:tr>
    </w:tbl>
    <w:p>
      <w:pPr>
        <w:rPr>
          <w:rFonts w:asciiTheme="minorEastAsia" w:hAnsiTheme="minorEastAsia" w:eastAsiaTheme="minorEastAsia" w:cstheme="minorEastAsia"/>
          <w:b/>
          <w:sz w:val="18"/>
          <w:szCs w:val="18"/>
        </w:rPr>
      </w:pPr>
    </w:p>
    <w:p>
      <w:pPr>
        <w:numPr>
          <w:ilvl w:val="0"/>
          <w:numId w:val="1"/>
        </w:numPr>
        <w:spacing w:line="276" w:lineRule="auto"/>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服务需求</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乙方交付的产品质量保证期为</w:t>
      </w:r>
      <w:r>
        <w:rPr>
          <w:rFonts w:hint="eastAsia" w:ascii="华文仿宋" w:hAnsi="华文仿宋" w:eastAsia="华文仿宋" w:cs="华文仿宋"/>
          <w:color w:val="auto"/>
          <w:sz w:val="32"/>
          <w:szCs w:val="32"/>
          <w:highlight w:val="none"/>
        </w:rPr>
        <w:t>1</w:t>
      </w:r>
      <w:r>
        <w:rPr>
          <w:rFonts w:hint="eastAsia" w:ascii="华文仿宋" w:hAnsi="华文仿宋" w:eastAsia="华文仿宋" w:cs="华文仿宋"/>
          <w:color w:val="auto"/>
          <w:sz w:val="32"/>
          <w:szCs w:val="32"/>
        </w:rPr>
        <w:t>年，自该产品经甲方验收合格签字之日起算。</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自质量保证期到期之日起，由供应商提供不少于</w:t>
      </w:r>
      <w:r>
        <w:rPr>
          <w:rFonts w:hint="eastAsia" w:ascii="华文仿宋" w:hAnsi="华文仿宋" w:eastAsia="华文仿宋" w:cs="华文仿宋"/>
          <w:color w:val="auto"/>
          <w:sz w:val="32"/>
          <w:szCs w:val="32"/>
          <w:highlight w:val="none"/>
        </w:rPr>
        <w:t>3</w:t>
      </w:r>
      <w:r>
        <w:rPr>
          <w:rFonts w:hint="eastAsia" w:ascii="华文仿宋" w:hAnsi="华文仿宋" w:eastAsia="华文仿宋" w:cs="华文仿宋"/>
          <w:color w:val="auto"/>
          <w:sz w:val="32"/>
          <w:szCs w:val="32"/>
        </w:rPr>
        <w:t>年免费保修服务（另有特别说明的，按其要求执行）。免费保修期届满后，如甲方需要乙方继续提供维护服务，由甲乙双方另行协商。</w:t>
      </w:r>
    </w:p>
    <w:p>
      <w:pPr>
        <w:jc w:val="both"/>
        <w:rPr>
          <w:rFonts w:ascii="华文仿宋" w:hAnsi="华文仿宋" w:eastAsia="华文仿宋" w:cs="华文仿宋"/>
          <w:sz w:val="32"/>
          <w:szCs w:val="32"/>
        </w:rPr>
      </w:pPr>
    </w:p>
    <w:p>
      <w:pPr>
        <w:jc w:val="center"/>
        <w:rPr>
          <w:rFonts w:ascii="华文仿宋" w:hAnsi="华文仿宋" w:eastAsia="华文仿宋" w:cs="华文仿宋"/>
          <w:color w:val="auto"/>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color w:val="FF0000"/>
          <w:sz w:val="32"/>
          <w:szCs w:val="32"/>
        </w:rPr>
        <w:t xml:space="preserve">  </w:t>
      </w:r>
      <w:r>
        <w:rPr>
          <w:rFonts w:hint="eastAsia" w:ascii="华文仿宋" w:hAnsi="华文仿宋" w:eastAsia="华文仿宋" w:cs="华文仿宋"/>
          <w:color w:val="auto"/>
          <w:sz w:val="32"/>
          <w:szCs w:val="32"/>
        </w:rPr>
        <w:t xml:space="preserve"> 云康医学与健康学院</w:t>
      </w:r>
    </w:p>
    <w:p>
      <w:pPr>
        <w:jc w:val="center"/>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                              20</w:t>
      </w:r>
      <w:r>
        <w:rPr>
          <w:rFonts w:ascii="华文仿宋" w:hAnsi="华文仿宋" w:eastAsia="华文仿宋" w:cs="华文仿宋"/>
          <w:color w:val="auto"/>
          <w:sz w:val="32"/>
          <w:szCs w:val="32"/>
        </w:rPr>
        <w:t>2</w:t>
      </w:r>
      <w:r>
        <w:rPr>
          <w:rFonts w:hint="eastAsia" w:ascii="华文仿宋" w:hAnsi="华文仿宋" w:eastAsia="华文仿宋" w:cs="华文仿宋"/>
          <w:color w:val="auto"/>
          <w:sz w:val="32"/>
          <w:szCs w:val="32"/>
          <w:lang w:val="en-US" w:eastAsia="zh-CN"/>
        </w:rPr>
        <w:t>2</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12</w:t>
      </w:r>
      <w:r>
        <w:rPr>
          <w:rFonts w:hint="eastAsia" w:ascii="华文仿宋" w:hAnsi="华文仿宋" w:eastAsia="华文仿宋" w:cs="华文仿宋"/>
          <w:color w:val="auto"/>
          <w:sz w:val="32"/>
          <w:szCs w:val="32"/>
        </w:rPr>
        <w:t>月</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9179C"/>
    <w:multiLevelType w:val="singleLevel"/>
    <w:tmpl w:val="1929179C"/>
    <w:lvl w:ilvl="0" w:tentative="0">
      <w:start w:val="4"/>
      <w:numFmt w:val="chineseCounting"/>
      <w:suff w:val="nothing"/>
      <w:lvlText w:val="%1、"/>
      <w:lvlJc w:val="left"/>
      <w:rPr>
        <w:rFonts w:hint="eastAsia"/>
      </w:rPr>
    </w:lvl>
  </w:abstractNum>
  <w:abstractNum w:abstractNumId="1">
    <w:nsid w:val="5C5B75D8"/>
    <w:multiLevelType w:val="singleLevel"/>
    <w:tmpl w:val="5C5B75D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E4287B"/>
    <w:rsid w:val="00006172"/>
    <w:rsid w:val="00010C2E"/>
    <w:rsid w:val="00041BAE"/>
    <w:rsid w:val="00044ACA"/>
    <w:rsid w:val="0004753F"/>
    <w:rsid w:val="00053CA8"/>
    <w:rsid w:val="00054EA7"/>
    <w:rsid w:val="00062359"/>
    <w:rsid w:val="00062DB0"/>
    <w:rsid w:val="0007029C"/>
    <w:rsid w:val="00074448"/>
    <w:rsid w:val="00076F7F"/>
    <w:rsid w:val="00080E5C"/>
    <w:rsid w:val="000810D9"/>
    <w:rsid w:val="000A094C"/>
    <w:rsid w:val="000A0BB9"/>
    <w:rsid w:val="000C338D"/>
    <w:rsid w:val="000D70B5"/>
    <w:rsid w:val="000D7930"/>
    <w:rsid w:val="000E49B5"/>
    <w:rsid w:val="000E4C13"/>
    <w:rsid w:val="001040FD"/>
    <w:rsid w:val="00106257"/>
    <w:rsid w:val="00110119"/>
    <w:rsid w:val="00114B10"/>
    <w:rsid w:val="00115364"/>
    <w:rsid w:val="00116265"/>
    <w:rsid w:val="001175E9"/>
    <w:rsid w:val="0012209A"/>
    <w:rsid w:val="0012714B"/>
    <w:rsid w:val="0013190F"/>
    <w:rsid w:val="001349BE"/>
    <w:rsid w:val="00137BEE"/>
    <w:rsid w:val="001571E9"/>
    <w:rsid w:val="00160B15"/>
    <w:rsid w:val="00165F6D"/>
    <w:rsid w:val="00170B9F"/>
    <w:rsid w:val="00171531"/>
    <w:rsid w:val="00171972"/>
    <w:rsid w:val="00173F08"/>
    <w:rsid w:val="00187106"/>
    <w:rsid w:val="00192A55"/>
    <w:rsid w:val="00194B90"/>
    <w:rsid w:val="001A0987"/>
    <w:rsid w:val="001A4A13"/>
    <w:rsid w:val="001A5DDE"/>
    <w:rsid w:val="001A70E4"/>
    <w:rsid w:val="001B0704"/>
    <w:rsid w:val="001C067D"/>
    <w:rsid w:val="001C0920"/>
    <w:rsid w:val="001C14DF"/>
    <w:rsid w:val="001C6269"/>
    <w:rsid w:val="001C7761"/>
    <w:rsid w:val="001D3D5E"/>
    <w:rsid w:val="001E3759"/>
    <w:rsid w:val="001E7A2E"/>
    <w:rsid w:val="0020308C"/>
    <w:rsid w:val="00210850"/>
    <w:rsid w:val="00234D3B"/>
    <w:rsid w:val="00235EAA"/>
    <w:rsid w:val="0024550D"/>
    <w:rsid w:val="002457C7"/>
    <w:rsid w:val="00246E25"/>
    <w:rsid w:val="00247832"/>
    <w:rsid w:val="002547B7"/>
    <w:rsid w:val="00254D96"/>
    <w:rsid w:val="00262E43"/>
    <w:rsid w:val="00264B09"/>
    <w:rsid w:val="00273690"/>
    <w:rsid w:val="00281493"/>
    <w:rsid w:val="00293E75"/>
    <w:rsid w:val="00297AFA"/>
    <w:rsid w:val="002A124F"/>
    <w:rsid w:val="002A3295"/>
    <w:rsid w:val="002A65F7"/>
    <w:rsid w:val="002A6981"/>
    <w:rsid w:val="002B2F06"/>
    <w:rsid w:val="002B704D"/>
    <w:rsid w:val="002C1FCC"/>
    <w:rsid w:val="002C45F3"/>
    <w:rsid w:val="002D7E03"/>
    <w:rsid w:val="002E3DAB"/>
    <w:rsid w:val="002E45CB"/>
    <w:rsid w:val="002E51F7"/>
    <w:rsid w:val="002E7DF6"/>
    <w:rsid w:val="002F2D64"/>
    <w:rsid w:val="002F5AC6"/>
    <w:rsid w:val="00302F9A"/>
    <w:rsid w:val="0030584C"/>
    <w:rsid w:val="00322E3F"/>
    <w:rsid w:val="0032346E"/>
    <w:rsid w:val="00326A12"/>
    <w:rsid w:val="003273CB"/>
    <w:rsid w:val="003304B5"/>
    <w:rsid w:val="00332BCE"/>
    <w:rsid w:val="003375C7"/>
    <w:rsid w:val="00337C59"/>
    <w:rsid w:val="00341E4F"/>
    <w:rsid w:val="00346E24"/>
    <w:rsid w:val="00346F77"/>
    <w:rsid w:val="003615C9"/>
    <w:rsid w:val="00362330"/>
    <w:rsid w:val="00374150"/>
    <w:rsid w:val="00376DCD"/>
    <w:rsid w:val="003821EB"/>
    <w:rsid w:val="00394B6A"/>
    <w:rsid w:val="003956FD"/>
    <w:rsid w:val="0039671A"/>
    <w:rsid w:val="003A6CEA"/>
    <w:rsid w:val="003C165E"/>
    <w:rsid w:val="003C3E60"/>
    <w:rsid w:val="003C53D9"/>
    <w:rsid w:val="003C7014"/>
    <w:rsid w:val="003C7791"/>
    <w:rsid w:val="003D3259"/>
    <w:rsid w:val="003D6DB7"/>
    <w:rsid w:val="003E4DB5"/>
    <w:rsid w:val="003E5B88"/>
    <w:rsid w:val="003F23BB"/>
    <w:rsid w:val="003F4A67"/>
    <w:rsid w:val="003F5699"/>
    <w:rsid w:val="004022AA"/>
    <w:rsid w:val="004038ED"/>
    <w:rsid w:val="00404F3C"/>
    <w:rsid w:val="0041289A"/>
    <w:rsid w:val="0042194C"/>
    <w:rsid w:val="00427DAA"/>
    <w:rsid w:val="0043052C"/>
    <w:rsid w:val="00436452"/>
    <w:rsid w:val="00450B56"/>
    <w:rsid w:val="0045306F"/>
    <w:rsid w:val="00455B0C"/>
    <w:rsid w:val="0045702E"/>
    <w:rsid w:val="0047682D"/>
    <w:rsid w:val="00481D82"/>
    <w:rsid w:val="00483C03"/>
    <w:rsid w:val="004A0575"/>
    <w:rsid w:val="004A3FFC"/>
    <w:rsid w:val="004A4699"/>
    <w:rsid w:val="004A7872"/>
    <w:rsid w:val="004B29FA"/>
    <w:rsid w:val="004B5E73"/>
    <w:rsid w:val="004C00BF"/>
    <w:rsid w:val="004E19AF"/>
    <w:rsid w:val="004E7BF5"/>
    <w:rsid w:val="004E7F7E"/>
    <w:rsid w:val="004F4C34"/>
    <w:rsid w:val="004F55F7"/>
    <w:rsid w:val="004F5E9A"/>
    <w:rsid w:val="00502341"/>
    <w:rsid w:val="00502990"/>
    <w:rsid w:val="00505FFF"/>
    <w:rsid w:val="00507C76"/>
    <w:rsid w:val="00512482"/>
    <w:rsid w:val="00512FB1"/>
    <w:rsid w:val="00515764"/>
    <w:rsid w:val="00524597"/>
    <w:rsid w:val="005259E2"/>
    <w:rsid w:val="00535716"/>
    <w:rsid w:val="005361A2"/>
    <w:rsid w:val="00563481"/>
    <w:rsid w:val="00577647"/>
    <w:rsid w:val="00580126"/>
    <w:rsid w:val="005835EB"/>
    <w:rsid w:val="005845AC"/>
    <w:rsid w:val="005856FD"/>
    <w:rsid w:val="00592244"/>
    <w:rsid w:val="0059415F"/>
    <w:rsid w:val="00595B55"/>
    <w:rsid w:val="005A21FA"/>
    <w:rsid w:val="005A67C2"/>
    <w:rsid w:val="005B08F1"/>
    <w:rsid w:val="005B1ABB"/>
    <w:rsid w:val="005B2313"/>
    <w:rsid w:val="005B34B7"/>
    <w:rsid w:val="005C246B"/>
    <w:rsid w:val="005D1E89"/>
    <w:rsid w:val="005D1FFA"/>
    <w:rsid w:val="005E3DF7"/>
    <w:rsid w:val="005F0F7A"/>
    <w:rsid w:val="005F10BC"/>
    <w:rsid w:val="005F5E9D"/>
    <w:rsid w:val="006023E7"/>
    <w:rsid w:val="00607B53"/>
    <w:rsid w:val="0061589A"/>
    <w:rsid w:val="006226C8"/>
    <w:rsid w:val="00624A5D"/>
    <w:rsid w:val="006250D7"/>
    <w:rsid w:val="00625C64"/>
    <w:rsid w:val="00626FD8"/>
    <w:rsid w:val="00627EE8"/>
    <w:rsid w:val="0063285A"/>
    <w:rsid w:val="00634E89"/>
    <w:rsid w:val="00642174"/>
    <w:rsid w:val="00650C4E"/>
    <w:rsid w:val="0065652F"/>
    <w:rsid w:val="0066235B"/>
    <w:rsid w:val="00671E09"/>
    <w:rsid w:val="0067362F"/>
    <w:rsid w:val="00675077"/>
    <w:rsid w:val="0067731F"/>
    <w:rsid w:val="0067739D"/>
    <w:rsid w:val="00681C2D"/>
    <w:rsid w:val="00686B93"/>
    <w:rsid w:val="00686C5F"/>
    <w:rsid w:val="00687AA1"/>
    <w:rsid w:val="006948F3"/>
    <w:rsid w:val="00697870"/>
    <w:rsid w:val="006A3C4D"/>
    <w:rsid w:val="006A78B5"/>
    <w:rsid w:val="006A7C0C"/>
    <w:rsid w:val="006B2CC2"/>
    <w:rsid w:val="006C0C2D"/>
    <w:rsid w:val="006C65E7"/>
    <w:rsid w:val="006C72D8"/>
    <w:rsid w:val="006C7B00"/>
    <w:rsid w:val="006D235E"/>
    <w:rsid w:val="006D25A8"/>
    <w:rsid w:val="006D3B69"/>
    <w:rsid w:val="006D3B7C"/>
    <w:rsid w:val="006E6091"/>
    <w:rsid w:val="006F127F"/>
    <w:rsid w:val="00707535"/>
    <w:rsid w:val="00707F09"/>
    <w:rsid w:val="00711B8F"/>
    <w:rsid w:val="0071663E"/>
    <w:rsid w:val="0071723A"/>
    <w:rsid w:val="007209AC"/>
    <w:rsid w:val="00722272"/>
    <w:rsid w:val="0072249E"/>
    <w:rsid w:val="00724077"/>
    <w:rsid w:val="00734135"/>
    <w:rsid w:val="00741BF3"/>
    <w:rsid w:val="0074761C"/>
    <w:rsid w:val="0076675A"/>
    <w:rsid w:val="00772DA2"/>
    <w:rsid w:val="00777552"/>
    <w:rsid w:val="0078142F"/>
    <w:rsid w:val="00782F20"/>
    <w:rsid w:val="007863A8"/>
    <w:rsid w:val="00787637"/>
    <w:rsid w:val="00795F41"/>
    <w:rsid w:val="007A3E2C"/>
    <w:rsid w:val="007B20EB"/>
    <w:rsid w:val="007C2361"/>
    <w:rsid w:val="007D14FE"/>
    <w:rsid w:val="007E3D65"/>
    <w:rsid w:val="007F5AEB"/>
    <w:rsid w:val="008005D1"/>
    <w:rsid w:val="00802A2B"/>
    <w:rsid w:val="00805670"/>
    <w:rsid w:val="00810BE7"/>
    <w:rsid w:val="00822EBF"/>
    <w:rsid w:val="008255F1"/>
    <w:rsid w:val="0083404F"/>
    <w:rsid w:val="00835A16"/>
    <w:rsid w:val="008362E0"/>
    <w:rsid w:val="00837051"/>
    <w:rsid w:val="00843936"/>
    <w:rsid w:val="00844190"/>
    <w:rsid w:val="00844981"/>
    <w:rsid w:val="00845226"/>
    <w:rsid w:val="00847BF0"/>
    <w:rsid w:val="00847CC7"/>
    <w:rsid w:val="00862FEB"/>
    <w:rsid w:val="00870688"/>
    <w:rsid w:val="00873CD7"/>
    <w:rsid w:val="00882849"/>
    <w:rsid w:val="0089134D"/>
    <w:rsid w:val="008A0EFE"/>
    <w:rsid w:val="008A56C2"/>
    <w:rsid w:val="008B1735"/>
    <w:rsid w:val="008C3F0B"/>
    <w:rsid w:val="008C7BEC"/>
    <w:rsid w:val="008D0B6D"/>
    <w:rsid w:val="008D4348"/>
    <w:rsid w:val="008E42AF"/>
    <w:rsid w:val="008E7B28"/>
    <w:rsid w:val="008F6AB8"/>
    <w:rsid w:val="00900429"/>
    <w:rsid w:val="00903A85"/>
    <w:rsid w:val="00905D55"/>
    <w:rsid w:val="00910903"/>
    <w:rsid w:val="00915527"/>
    <w:rsid w:val="009162A0"/>
    <w:rsid w:val="00922580"/>
    <w:rsid w:val="00925A03"/>
    <w:rsid w:val="009348A0"/>
    <w:rsid w:val="0094108A"/>
    <w:rsid w:val="00944044"/>
    <w:rsid w:val="00944D7F"/>
    <w:rsid w:val="00945657"/>
    <w:rsid w:val="0096312F"/>
    <w:rsid w:val="009678B1"/>
    <w:rsid w:val="00976927"/>
    <w:rsid w:val="00977950"/>
    <w:rsid w:val="00981EF0"/>
    <w:rsid w:val="00983F41"/>
    <w:rsid w:val="00985B5B"/>
    <w:rsid w:val="009868AB"/>
    <w:rsid w:val="00992947"/>
    <w:rsid w:val="009A6130"/>
    <w:rsid w:val="009A614C"/>
    <w:rsid w:val="009A7BF8"/>
    <w:rsid w:val="009B4FA5"/>
    <w:rsid w:val="009C023F"/>
    <w:rsid w:val="009C0434"/>
    <w:rsid w:val="009C313C"/>
    <w:rsid w:val="009C594A"/>
    <w:rsid w:val="009D37AC"/>
    <w:rsid w:val="009F1495"/>
    <w:rsid w:val="009F4CDB"/>
    <w:rsid w:val="00A006F9"/>
    <w:rsid w:val="00A0346A"/>
    <w:rsid w:val="00A05583"/>
    <w:rsid w:val="00A17D9B"/>
    <w:rsid w:val="00A262B7"/>
    <w:rsid w:val="00A273F4"/>
    <w:rsid w:val="00A37150"/>
    <w:rsid w:val="00A41356"/>
    <w:rsid w:val="00A41A41"/>
    <w:rsid w:val="00A423E4"/>
    <w:rsid w:val="00A51C36"/>
    <w:rsid w:val="00A57170"/>
    <w:rsid w:val="00A6342F"/>
    <w:rsid w:val="00A761EA"/>
    <w:rsid w:val="00A8017A"/>
    <w:rsid w:val="00A821CF"/>
    <w:rsid w:val="00A82DA7"/>
    <w:rsid w:val="00A91157"/>
    <w:rsid w:val="00AA5473"/>
    <w:rsid w:val="00AA788A"/>
    <w:rsid w:val="00AA7E9F"/>
    <w:rsid w:val="00AB3B41"/>
    <w:rsid w:val="00AC35B1"/>
    <w:rsid w:val="00AC48FF"/>
    <w:rsid w:val="00AC65B0"/>
    <w:rsid w:val="00AC7066"/>
    <w:rsid w:val="00AD488C"/>
    <w:rsid w:val="00AD58A1"/>
    <w:rsid w:val="00AF0D38"/>
    <w:rsid w:val="00AF3DD6"/>
    <w:rsid w:val="00AF5133"/>
    <w:rsid w:val="00B04F16"/>
    <w:rsid w:val="00B0609B"/>
    <w:rsid w:val="00B0713D"/>
    <w:rsid w:val="00B2325D"/>
    <w:rsid w:val="00B3192B"/>
    <w:rsid w:val="00B378F3"/>
    <w:rsid w:val="00B42913"/>
    <w:rsid w:val="00B45C7C"/>
    <w:rsid w:val="00B56EF6"/>
    <w:rsid w:val="00B66C9F"/>
    <w:rsid w:val="00B72866"/>
    <w:rsid w:val="00B8140B"/>
    <w:rsid w:val="00B9366D"/>
    <w:rsid w:val="00B9443D"/>
    <w:rsid w:val="00B97257"/>
    <w:rsid w:val="00BA0490"/>
    <w:rsid w:val="00BA2B2F"/>
    <w:rsid w:val="00BA68C3"/>
    <w:rsid w:val="00BB1580"/>
    <w:rsid w:val="00BB4ACC"/>
    <w:rsid w:val="00BD2529"/>
    <w:rsid w:val="00BE0E4D"/>
    <w:rsid w:val="00BE3E3C"/>
    <w:rsid w:val="00BF2114"/>
    <w:rsid w:val="00BF227B"/>
    <w:rsid w:val="00BF286F"/>
    <w:rsid w:val="00BF3382"/>
    <w:rsid w:val="00C05B3B"/>
    <w:rsid w:val="00C17969"/>
    <w:rsid w:val="00C22F82"/>
    <w:rsid w:val="00C25366"/>
    <w:rsid w:val="00C3323B"/>
    <w:rsid w:val="00C33899"/>
    <w:rsid w:val="00C376D9"/>
    <w:rsid w:val="00C37DB4"/>
    <w:rsid w:val="00C42960"/>
    <w:rsid w:val="00C52B72"/>
    <w:rsid w:val="00C5404E"/>
    <w:rsid w:val="00C54CEE"/>
    <w:rsid w:val="00C5731D"/>
    <w:rsid w:val="00C61D5D"/>
    <w:rsid w:val="00C63109"/>
    <w:rsid w:val="00C6337D"/>
    <w:rsid w:val="00C771CB"/>
    <w:rsid w:val="00C84F58"/>
    <w:rsid w:val="00C93B5F"/>
    <w:rsid w:val="00C9704E"/>
    <w:rsid w:val="00CA201F"/>
    <w:rsid w:val="00CB1A35"/>
    <w:rsid w:val="00CD1BD3"/>
    <w:rsid w:val="00CD1E91"/>
    <w:rsid w:val="00CD5157"/>
    <w:rsid w:val="00CE32E0"/>
    <w:rsid w:val="00CE7483"/>
    <w:rsid w:val="00CF31F5"/>
    <w:rsid w:val="00CF3BF9"/>
    <w:rsid w:val="00D00040"/>
    <w:rsid w:val="00D004EB"/>
    <w:rsid w:val="00D00958"/>
    <w:rsid w:val="00D05BE7"/>
    <w:rsid w:val="00D0716A"/>
    <w:rsid w:val="00D10DD0"/>
    <w:rsid w:val="00D14232"/>
    <w:rsid w:val="00D1444E"/>
    <w:rsid w:val="00D1790C"/>
    <w:rsid w:val="00D22CCB"/>
    <w:rsid w:val="00D32A2A"/>
    <w:rsid w:val="00D33FC0"/>
    <w:rsid w:val="00D447BA"/>
    <w:rsid w:val="00D47137"/>
    <w:rsid w:val="00D551C5"/>
    <w:rsid w:val="00D56D45"/>
    <w:rsid w:val="00D56EDC"/>
    <w:rsid w:val="00D62573"/>
    <w:rsid w:val="00D643DD"/>
    <w:rsid w:val="00D6638F"/>
    <w:rsid w:val="00D66992"/>
    <w:rsid w:val="00D754C6"/>
    <w:rsid w:val="00D802B3"/>
    <w:rsid w:val="00D81188"/>
    <w:rsid w:val="00D81909"/>
    <w:rsid w:val="00D833BE"/>
    <w:rsid w:val="00D84409"/>
    <w:rsid w:val="00D9028B"/>
    <w:rsid w:val="00D92A08"/>
    <w:rsid w:val="00D97D1A"/>
    <w:rsid w:val="00DA3A9A"/>
    <w:rsid w:val="00DA672D"/>
    <w:rsid w:val="00DB45B5"/>
    <w:rsid w:val="00DB5E62"/>
    <w:rsid w:val="00DB729A"/>
    <w:rsid w:val="00DC29D8"/>
    <w:rsid w:val="00DC3137"/>
    <w:rsid w:val="00DC3BC0"/>
    <w:rsid w:val="00DC5974"/>
    <w:rsid w:val="00DD211C"/>
    <w:rsid w:val="00DE1F00"/>
    <w:rsid w:val="00DE7BD1"/>
    <w:rsid w:val="00DF3FCA"/>
    <w:rsid w:val="00DF5AB0"/>
    <w:rsid w:val="00DF75CE"/>
    <w:rsid w:val="00E03EDE"/>
    <w:rsid w:val="00E063EF"/>
    <w:rsid w:val="00E117A2"/>
    <w:rsid w:val="00E42776"/>
    <w:rsid w:val="00E4287B"/>
    <w:rsid w:val="00E42D51"/>
    <w:rsid w:val="00E4318C"/>
    <w:rsid w:val="00E435AB"/>
    <w:rsid w:val="00E4447A"/>
    <w:rsid w:val="00E61C42"/>
    <w:rsid w:val="00E624D9"/>
    <w:rsid w:val="00E64BE0"/>
    <w:rsid w:val="00E66E27"/>
    <w:rsid w:val="00E71E95"/>
    <w:rsid w:val="00E80D74"/>
    <w:rsid w:val="00E81F04"/>
    <w:rsid w:val="00E821FE"/>
    <w:rsid w:val="00E90EE5"/>
    <w:rsid w:val="00E93BB7"/>
    <w:rsid w:val="00EA42E4"/>
    <w:rsid w:val="00EA4384"/>
    <w:rsid w:val="00EB5E74"/>
    <w:rsid w:val="00EB75BB"/>
    <w:rsid w:val="00EC3A1F"/>
    <w:rsid w:val="00EF1E23"/>
    <w:rsid w:val="00F0771C"/>
    <w:rsid w:val="00F11720"/>
    <w:rsid w:val="00F23E05"/>
    <w:rsid w:val="00F31BCA"/>
    <w:rsid w:val="00F3339C"/>
    <w:rsid w:val="00F405FA"/>
    <w:rsid w:val="00F57E49"/>
    <w:rsid w:val="00F63373"/>
    <w:rsid w:val="00F64E11"/>
    <w:rsid w:val="00F66F3A"/>
    <w:rsid w:val="00F812B7"/>
    <w:rsid w:val="00F85D84"/>
    <w:rsid w:val="00F8780A"/>
    <w:rsid w:val="00F93960"/>
    <w:rsid w:val="00F96D90"/>
    <w:rsid w:val="00FA0BF4"/>
    <w:rsid w:val="00FA3F14"/>
    <w:rsid w:val="00FA6C51"/>
    <w:rsid w:val="00FA7D53"/>
    <w:rsid w:val="00FC0A96"/>
    <w:rsid w:val="00FC0FC1"/>
    <w:rsid w:val="00FC1860"/>
    <w:rsid w:val="00FD4A79"/>
    <w:rsid w:val="00FF6C65"/>
    <w:rsid w:val="00FF7610"/>
    <w:rsid w:val="00FF77AF"/>
    <w:rsid w:val="01BA6BC0"/>
    <w:rsid w:val="0A21125D"/>
    <w:rsid w:val="0A275FC6"/>
    <w:rsid w:val="0AF42EDB"/>
    <w:rsid w:val="0C4155BE"/>
    <w:rsid w:val="0E74727D"/>
    <w:rsid w:val="11BB50B6"/>
    <w:rsid w:val="127D1C0C"/>
    <w:rsid w:val="14823D33"/>
    <w:rsid w:val="19F55FE1"/>
    <w:rsid w:val="1AA6343D"/>
    <w:rsid w:val="1AF34CB4"/>
    <w:rsid w:val="239C7CA9"/>
    <w:rsid w:val="23B71652"/>
    <w:rsid w:val="28BB6457"/>
    <w:rsid w:val="2D20584C"/>
    <w:rsid w:val="30126ECE"/>
    <w:rsid w:val="341823C8"/>
    <w:rsid w:val="345B7314"/>
    <w:rsid w:val="394C24A0"/>
    <w:rsid w:val="3B56440B"/>
    <w:rsid w:val="3BE8054B"/>
    <w:rsid w:val="3D4C7A72"/>
    <w:rsid w:val="3DE72886"/>
    <w:rsid w:val="42EF04AA"/>
    <w:rsid w:val="458C5B2F"/>
    <w:rsid w:val="45DA431F"/>
    <w:rsid w:val="49526E0D"/>
    <w:rsid w:val="4CB278C4"/>
    <w:rsid w:val="4E9D4C76"/>
    <w:rsid w:val="4FE44BA0"/>
    <w:rsid w:val="507434A2"/>
    <w:rsid w:val="51045272"/>
    <w:rsid w:val="52771ACD"/>
    <w:rsid w:val="55F30698"/>
    <w:rsid w:val="564141B3"/>
    <w:rsid w:val="602731AA"/>
    <w:rsid w:val="64D57E8E"/>
    <w:rsid w:val="660A50B8"/>
    <w:rsid w:val="72812622"/>
    <w:rsid w:val="72B840A8"/>
    <w:rsid w:val="7DF511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locked/>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alloon Text"/>
    <w:basedOn w:val="1"/>
    <w:link w:val="24"/>
    <w:semiHidden/>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9"/>
    <w:semiHidden/>
    <w:unhideWhenUsed/>
    <w:qFormat/>
    <w:uiPriority w:val="99"/>
    <w:rPr>
      <w:rFonts w:ascii="Courier New" w:hAnsi="Courier New" w:cs="Courier New"/>
      <w:sz w:val="20"/>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25"/>
    <w:qFormat/>
    <w:locked/>
    <w:uiPriority w:val="0"/>
    <w:pPr>
      <w:spacing w:before="240" w:after="60"/>
      <w:jc w:val="center"/>
      <w:outlineLvl w:val="0"/>
    </w:pPr>
    <w:rPr>
      <w:rFonts w:asciiTheme="majorHAnsi" w:hAnsiTheme="majorHAnsi" w:cstheme="majorBidi"/>
      <w:b/>
      <w:bCs/>
      <w:sz w:val="32"/>
      <w:szCs w:val="32"/>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locked/>
    <w:uiPriority w:val="22"/>
    <w:rPr>
      <w:b/>
      <w:bCs/>
    </w:rPr>
  </w:style>
  <w:style w:type="character" w:styleId="14">
    <w:name w:val="Hyperlink"/>
    <w:unhideWhenUsed/>
    <w:qFormat/>
    <w:uiPriority w:val="99"/>
    <w:rPr>
      <w:color w:val="136EC2"/>
      <w:u w:val="single"/>
    </w:rPr>
  </w:style>
  <w:style w:type="paragraph" w:customStyle="1" w:styleId="15">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6">
    <w:name w:val="页眉 字符"/>
    <w:link w:val="6"/>
    <w:semiHidden/>
    <w:qFormat/>
    <w:locked/>
    <w:uiPriority w:val="99"/>
    <w:rPr>
      <w:rFonts w:cs="Times New Roman"/>
      <w:kern w:val="2"/>
      <w:sz w:val="18"/>
      <w:szCs w:val="18"/>
    </w:rPr>
  </w:style>
  <w:style w:type="character" w:customStyle="1" w:styleId="17">
    <w:name w:val="页脚 字符"/>
    <w:link w:val="5"/>
    <w:qFormat/>
    <w:locked/>
    <w:uiPriority w:val="99"/>
    <w:rPr>
      <w:rFonts w:cs="Times New Roman"/>
      <w:kern w:val="2"/>
      <w:sz w:val="18"/>
      <w:szCs w:val="18"/>
    </w:rPr>
  </w:style>
  <w:style w:type="paragraph" w:customStyle="1" w:styleId="18">
    <w:name w:val="样式1 Char Char"/>
    <w:basedOn w:val="1"/>
    <w:next w:val="1"/>
    <w:link w:val="19"/>
    <w:qFormat/>
    <w:uiPriority w:val="99"/>
    <w:pPr>
      <w:spacing w:line="360" w:lineRule="auto"/>
      <w:ind w:firstLine="516" w:firstLineChars="215"/>
    </w:pPr>
    <w:rPr>
      <w:sz w:val="24"/>
      <w:szCs w:val="20"/>
    </w:rPr>
  </w:style>
  <w:style w:type="character" w:customStyle="1" w:styleId="19">
    <w:name w:val="样式1 Char Char Char"/>
    <w:link w:val="18"/>
    <w:qFormat/>
    <w:locked/>
    <w:uiPriority w:val="99"/>
    <w:rPr>
      <w:rFonts w:eastAsia="宋体" w:cs="Times New Roman"/>
      <w:kern w:val="2"/>
      <w:sz w:val="24"/>
      <w:lang w:val="en-US" w:eastAsia="zh-CN" w:bidi="ar-SA"/>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apple-converted-space"/>
    <w:basedOn w:val="12"/>
    <w:qFormat/>
    <w:uiPriority w:val="0"/>
  </w:style>
  <w:style w:type="paragraph" w:customStyle="1" w:styleId="23">
    <w:name w:val="commodity-info-value-hook"/>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批注框文本 字符"/>
    <w:basedOn w:val="12"/>
    <w:link w:val="4"/>
    <w:semiHidden/>
    <w:qFormat/>
    <w:uiPriority w:val="99"/>
    <w:rPr>
      <w:kern w:val="2"/>
      <w:sz w:val="18"/>
      <w:szCs w:val="18"/>
    </w:rPr>
  </w:style>
  <w:style w:type="character" w:customStyle="1" w:styleId="25">
    <w:name w:val="标题 字符"/>
    <w:basedOn w:val="12"/>
    <w:link w:val="9"/>
    <w:qFormat/>
    <w:uiPriority w:val="0"/>
    <w:rPr>
      <w:rFonts w:asciiTheme="majorHAnsi" w:hAnsiTheme="majorHAnsi" w:cstheme="majorBidi"/>
      <w:b/>
      <w:bCs/>
      <w:kern w:val="2"/>
      <w:sz w:val="32"/>
      <w:szCs w:val="32"/>
    </w:rPr>
  </w:style>
  <w:style w:type="character" w:customStyle="1" w:styleId="26">
    <w:name w:val="标题 1 字符"/>
    <w:basedOn w:val="12"/>
    <w:link w:val="2"/>
    <w:qFormat/>
    <w:uiPriority w:val="0"/>
    <w:rPr>
      <w:b/>
      <w:bCs/>
      <w:kern w:val="44"/>
      <w:sz w:val="44"/>
      <w:szCs w:val="44"/>
    </w:rPr>
  </w:style>
  <w:style w:type="paragraph" w:customStyle="1" w:styleId="27">
    <w:name w:val="Char1"/>
    <w:basedOn w:val="1"/>
    <w:qFormat/>
    <w:uiPriority w:val="0"/>
  </w:style>
  <w:style w:type="paragraph" w:styleId="28">
    <w:name w:val="List Paragraph"/>
    <w:basedOn w:val="1"/>
    <w:qFormat/>
    <w:uiPriority w:val="34"/>
    <w:pPr>
      <w:ind w:firstLine="420" w:firstLineChars="200"/>
    </w:pPr>
  </w:style>
  <w:style w:type="character" w:customStyle="1" w:styleId="29">
    <w:name w:val="HTML 预设格式 字符"/>
    <w:basedOn w:val="12"/>
    <w:link w:val="7"/>
    <w:semiHidden/>
    <w:qFormat/>
    <w:uiPriority w:val="99"/>
    <w:rPr>
      <w:rFonts w:ascii="Courier New" w:hAnsi="Courier New" w:cs="Courier New"/>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0E7BD-3B45-488E-A26F-B73FCF6C7919}">
  <ds:schemaRefs/>
</ds:datastoreItem>
</file>

<file path=docProps/app.xml><?xml version="1.0" encoding="utf-8"?>
<Properties xmlns="http://schemas.openxmlformats.org/officeDocument/2006/extended-properties" xmlns:vt="http://schemas.openxmlformats.org/officeDocument/2006/docPropsVTypes">
  <Template>Normal</Template>
  <Company>GPMOMZ</Company>
  <Pages>5</Pages>
  <Words>3004</Words>
  <Characters>3142</Characters>
  <Lines>93</Lines>
  <Paragraphs>26</Paragraphs>
  <TotalTime>6</TotalTime>
  <ScaleCrop>false</ScaleCrop>
  <LinksUpToDate>false</LinksUpToDate>
  <CharactersWithSpaces>3201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2021-10-30T06:29:00Z</dcterms:created>
  <dc:creator>GPMOMZ</dc:creator>
  <cp:lastModifiedBy>Pc</cp:lastModifiedBy>
  <cp:lastPrinted>2019-10-08T02:10:00Z</cp:lastPrinted>
  <dcterms:modified xsi:type="dcterms:W3CDTF">2022-12-16T09:23:00Z</dcterms:modified>
  <dc:title>货物类采购项目用户需求书内容（通用类）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4948553D50C447C6882C93A18E584587</vt:lpwstr>
  </property>
</Properties>
</file>