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rFonts w:hint="eastAsia" w:eastAsiaTheme="minorEastAsia"/>
          <w:highlight w:val="none"/>
          <w:lang w:eastAsia="zh-CN"/>
        </w:rPr>
      </w:pPr>
    </w:p>
    <w:p>
      <w:pPr>
        <w:rPr>
          <w:rFonts w:hint="eastAsia" w:eastAsiaTheme="minorEastAsia"/>
          <w:highlight w:val="none"/>
          <w:lang w:eastAsia="zh-CN"/>
        </w:rPr>
      </w:pPr>
    </w:p>
    <w:p>
      <w:pPr>
        <w:jc w:val="center"/>
        <w:rPr>
          <w:b/>
          <w:bCs/>
          <w:sz w:val="44"/>
          <w:szCs w:val="44"/>
          <w:highlight w:val="none"/>
        </w:rPr>
      </w:pPr>
    </w:p>
    <w:p>
      <w:pPr>
        <w:jc w:val="center"/>
        <w:rPr>
          <w:rFonts w:hint="default" w:eastAsiaTheme="minorEastAsia"/>
          <w:b/>
          <w:bCs/>
          <w:sz w:val="44"/>
          <w:szCs w:val="44"/>
          <w:highlight w:val="none"/>
          <w:lang w:val="en-US" w:eastAsia="zh-CN"/>
        </w:rPr>
      </w:pPr>
      <w:r>
        <w:rPr>
          <w:rFonts w:hint="eastAsia"/>
          <w:b/>
          <w:bCs/>
          <w:sz w:val="44"/>
          <w:szCs w:val="44"/>
          <w:highlight w:val="none"/>
          <w:lang w:eastAsia="zh-CN"/>
        </w:rPr>
        <w:t>广州南方学院多媒体内容安全工程技术中心设备采购项目</w:t>
      </w:r>
      <w:r>
        <w:rPr>
          <w:rFonts w:hint="eastAsia"/>
          <w:b/>
          <w:bCs/>
          <w:sz w:val="44"/>
          <w:szCs w:val="44"/>
          <w:highlight w:val="none"/>
          <w:lang w:val="en-US" w:eastAsia="zh-CN"/>
        </w:rPr>
        <w:t>需求书</w:t>
      </w:r>
    </w:p>
    <w:p>
      <w:pPr>
        <w:jc w:val="center"/>
        <w:rPr>
          <w:rFonts w:hint="eastAsia" w:eastAsiaTheme="minorEastAsia"/>
          <w:b/>
          <w:bCs/>
          <w:sz w:val="44"/>
          <w:szCs w:val="44"/>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eastAsiaTheme="minorEastAsia"/>
          <w:highlight w:val="none"/>
          <w:lang w:eastAsia="zh-CN"/>
        </w:rPr>
      </w:pPr>
    </w:p>
    <w:p>
      <w:pPr>
        <w:jc w:val="center"/>
        <w:rPr>
          <w:rFonts w:hint="eastAsia"/>
          <w:b/>
          <w:bCs/>
          <w:sz w:val="44"/>
          <w:szCs w:val="44"/>
          <w:highlight w:val="none"/>
          <w:lang w:eastAsia="zh-CN"/>
        </w:rPr>
      </w:pPr>
    </w:p>
    <w:p>
      <w:pPr>
        <w:jc w:val="center"/>
        <w:rPr>
          <w:rFonts w:hint="eastAsia"/>
          <w:b/>
          <w:bCs/>
          <w:sz w:val="32"/>
          <w:szCs w:val="32"/>
          <w:highlight w:val="none"/>
          <w:lang w:eastAsia="zh-CN"/>
        </w:rPr>
      </w:pPr>
    </w:p>
    <w:p>
      <w:pPr>
        <w:jc w:val="center"/>
        <w:rPr>
          <w:rFonts w:hint="eastAsia"/>
          <w:b/>
          <w:bCs/>
          <w:sz w:val="32"/>
          <w:szCs w:val="32"/>
          <w:highlight w:val="none"/>
          <w:lang w:val="en-US" w:eastAsia="zh-CN"/>
        </w:rPr>
      </w:pPr>
      <w:r>
        <w:rPr>
          <w:rFonts w:hint="eastAsia"/>
          <w:b/>
          <w:bCs/>
          <w:sz w:val="32"/>
          <w:szCs w:val="32"/>
          <w:highlight w:val="none"/>
          <w:lang w:val="en-US" w:eastAsia="zh-CN"/>
        </w:rPr>
        <w:t>广州南方学院</w:t>
      </w:r>
    </w:p>
    <w:p>
      <w:pPr>
        <w:jc w:val="center"/>
        <w:rPr>
          <w:rFonts w:hint="default"/>
          <w:b/>
          <w:bCs/>
          <w:sz w:val="32"/>
          <w:szCs w:val="32"/>
          <w:highlight w:val="none"/>
          <w:lang w:val="en-US" w:eastAsia="zh-CN"/>
        </w:rPr>
      </w:pPr>
      <w:r>
        <w:rPr>
          <w:rFonts w:hint="eastAsia"/>
          <w:b/>
          <w:bCs/>
          <w:sz w:val="32"/>
          <w:szCs w:val="32"/>
          <w:highlight w:val="none"/>
          <w:lang w:val="en-US" w:eastAsia="zh-CN"/>
        </w:rPr>
        <w:t>2023年3月</w:t>
      </w:r>
    </w:p>
    <w:p>
      <w:pPr>
        <w:ind w:firstLine="480"/>
        <w:rPr>
          <w:highlight w:val="none"/>
        </w:rPr>
      </w:pPr>
    </w:p>
    <w:p>
      <w:pPr>
        <w:rPr>
          <w:highlight w:val="none"/>
        </w:rPr>
      </w:pPr>
      <w:r>
        <w:rPr>
          <w:highlight w:val="none"/>
        </w:rPr>
        <w:t xml:space="preserve"> </w:t>
      </w:r>
    </w:p>
    <w:p>
      <w:pPr>
        <w:rPr>
          <w:highlight w:val="none"/>
        </w:rPr>
      </w:pPr>
    </w:p>
    <w:p>
      <w:pPr>
        <w:pStyle w:val="2"/>
        <w:jc w:val="center"/>
        <w:rPr>
          <w:rFonts w:hint="eastAsia"/>
          <w:highlight w:val="none"/>
        </w:rPr>
        <w:sectPr>
          <w:pgSz w:w="11906" w:h="16838"/>
          <w:pgMar w:top="1440" w:right="1800" w:bottom="1440" w:left="1800" w:header="851" w:footer="992" w:gutter="0"/>
          <w:cols w:space="425" w:num="1"/>
          <w:docGrid w:type="lines" w:linePitch="312" w:charSpace="0"/>
        </w:sectPr>
      </w:pPr>
      <w:bookmarkStart w:id="0" w:name="_Toc11895"/>
      <w:bookmarkStart w:id="1" w:name="_Toc300834926"/>
      <w:bookmarkStart w:id="2" w:name="_Toc247527532"/>
    </w:p>
    <w:bookmarkEnd w:id="0"/>
    <w:bookmarkEnd w:id="1"/>
    <w:bookmarkEnd w:id="2"/>
    <w:p>
      <w:pPr>
        <w:rPr>
          <w:highlight w:val="none"/>
        </w:rPr>
      </w:pPr>
      <w:r>
        <w:rPr>
          <w:b/>
          <w:sz w:val="28"/>
          <w:highlight w:val="none"/>
        </w:rPr>
        <w:t>一、项目概况：</w:t>
      </w:r>
    </w:p>
    <w:p>
      <w:pPr>
        <w:ind w:firstLine="480"/>
        <w:rPr>
          <w:highlight w:val="none"/>
        </w:rPr>
      </w:pPr>
    </w:p>
    <w:p>
      <w:pPr>
        <w:rPr>
          <w:rFonts w:hint="default" w:eastAsiaTheme="minorEastAsia"/>
          <w:highlight w:val="none"/>
          <w:lang w:val="en-US" w:eastAsia="zh-CN"/>
        </w:rPr>
      </w:pPr>
      <w:r>
        <w:rPr>
          <w:highlight w:val="none"/>
        </w:rPr>
        <w:t>项目名称：</w:t>
      </w:r>
      <w:r>
        <w:rPr>
          <w:rFonts w:hint="eastAsia"/>
          <w:highlight w:val="none"/>
          <w:lang w:eastAsia="zh-CN"/>
        </w:rPr>
        <w:t>广州南方学院多媒体内容安全工程技术中心设备采购项目（</w:t>
      </w:r>
      <w:r>
        <w:rPr>
          <w:rFonts w:hint="eastAsia"/>
          <w:highlight w:val="none"/>
          <w:lang w:val="en-US" w:eastAsia="zh-CN"/>
        </w:rPr>
        <w:t>401科研室、404科研室及402办公室区域）</w:t>
      </w:r>
    </w:p>
    <w:p>
      <w:pPr>
        <w:rPr>
          <w:rFonts w:hint="eastAsia" w:eastAsiaTheme="minorEastAsia"/>
          <w:highlight w:val="none"/>
          <w:lang w:eastAsia="zh-CN"/>
        </w:rPr>
      </w:pPr>
      <w:r>
        <w:rPr>
          <w:highlight w:val="none"/>
        </w:rPr>
        <w:t>项目编号：</w:t>
      </w:r>
    </w:p>
    <w:p>
      <w:pPr>
        <w:rPr>
          <w:rFonts w:hint="eastAsia" w:eastAsiaTheme="minorEastAsia"/>
          <w:highlight w:val="none"/>
          <w:lang w:eastAsia="zh-CN"/>
        </w:rPr>
      </w:pPr>
      <w:r>
        <w:rPr>
          <w:highlight w:val="none"/>
        </w:rPr>
        <w:t>采购方式：公开招标</w:t>
      </w:r>
    </w:p>
    <w:p>
      <w:pPr>
        <w:rPr>
          <w:highlight w:val="none"/>
        </w:rPr>
      </w:pPr>
      <w:r>
        <w:rPr>
          <w:highlight w:val="none"/>
        </w:rPr>
        <w:t>预算金额：</w:t>
      </w:r>
      <w:r>
        <w:rPr>
          <w:rFonts w:hint="eastAsia" w:ascii="宋体" w:hAnsi="宋体" w:eastAsia="宋体" w:cs="宋体"/>
          <w:i w:val="0"/>
          <w:iCs w:val="0"/>
          <w:color w:val="000000"/>
          <w:kern w:val="0"/>
          <w:sz w:val="21"/>
          <w:szCs w:val="21"/>
          <w:highlight w:val="none"/>
          <w:u w:val="none"/>
          <w:lang w:val="en-US" w:eastAsia="zh-CN" w:bidi="ar"/>
        </w:rPr>
        <w:t>￥***</w:t>
      </w:r>
      <w:r>
        <w:rPr>
          <w:highlight w:val="none"/>
        </w:rPr>
        <w:t>元</w:t>
      </w:r>
    </w:p>
    <w:p>
      <w:pPr>
        <w:rPr>
          <w:highlight w:val="none"/>
        </w:rPr>
      </w:pPr>
    </w:p>
    <w:p>
      <w:pPr>
        <w:rPr>
          <w:highlight w:val="none"/>
        </w:rPr>
      </w:pPr>
      <w:r>
        <w:rPr>
          <w:highlight w:val="none"/>
        </w:rPr>
        <w:t>采购包1（</w:t>
      </w:r>
      <w:r>
        <w:rPr>
          <w:rFonts w:hint="eastAsia"/>
          <w:highlight w:val="none"/>
          <w:lang w:eastAsia="zh-CN"/>
        </w:rPr>
        <w:t>广州南方学院多媒体内容安全工程技术中心设备采购项目</w:t>
      </w:r>
      <w:r>
        <w:rPr>
          <w:highlight w:val="none"/>
        </w:rPr>
        <w:t>）：</w:t>
      </w:r>
    </w:p>
    <w:p>
      <w:pPr>
        <w:rPr>
          <w:highlight w:val="none"/>
        </w:rPr>
      </w:pPr>
      <w:r>
        <w:rPr>
          <w:b/>
          <w:sz w:val="24"/>
          <w:highlight w:val="none"/>
        </w:rPr>
        <w:t>1.主要商务要求</w:t>
      </w:r>
    </w:p>
    <w:tbl>
      <w:tblPr>
        <w:tblStyle w:val="1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4153" w:type="dxa"/>
          </w:tcPr>
          <w:p>
            <w:pPr>
              <w:rPr>
                <w:highlight w:val="none"/>
              </w:rPr>
            </w:pPr>
            <w:r>
              <w:rPr>
                <w:highlight w:val="none"/>
              </w:rPr>
              <w:t>标的提供的时间</w:t>
            </w:r>
          </w:p>
        </w:tc>
        <w:tc>
          <w:tcPr>
            <w:tcW w:w="4153" w:type="dxa"/>
          </w:tcPr>
          <w:p>
            <w:pPr>
              <w:jc w:val="left"/>
              <w:rPr>
                <w:highlight w:val="none"/>
              </w:rPr>
            </w:pPr>
          </w:p>
          <w:p>
            <w:pPr>
              <w:rPr>
                <w:highlight w:val="none"/>
              </w:rPr>
            </w:pPr>
            <w:r>
              <w:rPr>
                <w:highlight w:val="none"/>
              </w:rPr>
              <w:t>合同签订后</w:t>
            </w:r>
            <w:r>
              <w:rPr>
                <w:rFonts w:hint="eastAsia"/>
                <w:highlight w:val="none"/>
                <w:lang w:val="en-US" w:eastAsia="zh-CN"/>
              </w:rPr>
              <w:t>60</w:t>
            </w:r>
            <w:r>
              <w:rPr>
                <w:highlight w:val="none"/>
              </w:rPr>
              <w:t>个日历日内交货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rPr>
                <w:highlight w:val="none"/>
              </w:rPr>
            </w:pPr>
            <w:r>
              <w:rPr>
                <w:highlight w:val="none"/>
              </w:rPr>
              <w:t>标的提供的地点</w:t>
            </w:r>
          </w:p>
        </w:tc>
        <w:tc>
          <w:tcPr>
            <w:tcW w:w="4153" w:type="dxa"/>
          </w:tcPr>
          <w:p>
            <w:pPr>
              <w:rPr>
                <w:rFonts w:hint="eastAsia" w:eastAsiaTheme="minorEastAsia"/>
                <w:highlight w:val="none"/>
                <w:lang w:eastAsia="zh-CN"/>
              </w:rPr>
            </w:pPr>
            <w:r>
              <w:rPr>
                <w:rFonts w:hint="eastAsia"/>
                <w:highlight w:val="none"/>
                <w:lang w:eastAsia="zh-CN"/>
              </w:rPr>
              <w:t>广州南方学院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rPr>
                <w:highlight w:val="none"/>
              </w:rPr>
            </w:pPr>
            <w:r>
              <w:rPr>
                <w:highlight w:val="none"/>
              </w:rPr>
              <w:t>投标有效期</w:t>
            </w:r>
          </w:p>
        </w:tc>
        <w:tc>
          <w:tcPr>
            <w:tcW w:w="4153" w:type="dxa"/>
          </w:tcPr>
          <w:p>
            <w:pPr>
              <w:rPr>
                <w:highlight w:val="none"/>
              </w:rPr>
            </w:pPr>
            <w:r>
              <w:rPr>
                <w:highlight w:val="none"/>
              </w:rPr>
              <w:t>从提交投标（响应）文件的截止之日起</w:t>
            </w:r>
            <w:r>
              <w:rPr>
                <w:rFonts w:hint="eastAsia"/>
                <w:highlight w:val="none"/>
                <w:lang w:val="en-US" w:eastAsia="zh-CN"/>
              </w:rPr>
              <w:t>60</w:t>
            </w:r>
            <w:r>
              <w:rPr>
                <w:highlight w:val="none"/>
              </w:rPr>
              <w:t>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rPr>
                <w:highlight w:val="none"/>
              </w:rPr>
            </w:pPr>
            <w:r>
              <w:rPr>
                <w:highlight w:val="none"/>
              </w:rPr>
              <w:t>付款方式</w:t>
            </w:r>
          </w:p>
        </w:tc>
        <w:tc>
          <w:tcPr>
            <w:tcW w:w="4153" w:type="dxa"/>
          </w:tcPr>
          <w:p>
            <w:pPr>
              <w:rPr>
                <w:highlight w:val="none"/>
              </w:rPr>
            </w:pPr>
            <w:r>
              <w:rPr>
                <w:highlight w:val="none"/>
              </w:rPr>
              <w:t>1期：支付比例</w:t>
            </w:r>
            <w:r>
              <w:rPr>
                <w:rFonts w:hint="eastAsia"/>
                <w:highlight w:val="none"/>
                <w:lang w:val="en-US" w:eastAsia="zh-CN"/>
              </w:rPr>
              <w:t>95</w:t>
            </w:r>
            <w:r>
              <w:rPr>
                <w:highlight w:val="none"/>
              </w:rPr>
              <w:t>%，项目安装调试完成并通过采购人的验收后15个工作日内，采购人向中标人支付合同总额的</w:t>
            </w:r>
            <w:r>
              <w:rPr>
                <w:rFonts w:hint="eastAsia"/>
                <w:highlight w:val="none"/>
                <w:lang w:val="en-US" w:eastAsia="zh-CN"/>
              </w:rPr>
              <w:t>95</w:t>
            </w:r>
            <w:r>
              <w:rPr>
                <w:highlight w:val="none"/>
              </w:rPr>
              <w:t>％。 注：1）款项支付前，中标人需向采购人提供相应金额的正式发票（含货物款发票、货物安装费发票及有关服务发票等）。  2）支付方式：采用支票、银行汇付（含电汇）等形式。</w:t>
            </w:r>
          </w:p>
          <w:p>
            <w:pPr>
              <w:rPr>
                <w:highlight w:val="none"/>
              </w:rPr>
            </w:pPr>
          </w:p>
          <w:p>
            <w:pPr>
              <w:rPr>
                <w:rFonts w:hint="default" w:eastAsiaTheme="minorEastAsia"/>
                <w:highlight w:val="none"/>
                <w:lang w:val="en-US" w:eastAsia="zh-CN"/>
              </w:rPr>
            </w:pPr>
            <w:r>
              <w:rPr>
                <w:rFonts w:hint="eastAsia"/>
                <w:highlight w:val="none"/>
                <w:lang w:val="en-US" w:eastAsia="zh-CN"/>
              </w:rPr>
              <w:t>2期：支付比例5%，为项目保证金，正常运营1年以后，经使用单位提起支付。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rPr>
                <w:highlight w:val="none"/>
              </w:rPr>
            </w:pPr>
            <w:r>
              <w:rPr>
                <w:highlight w:val="none"/>
              </w:rPr>
              <w:t>验收要求</w:t>
            </w:r>
          </w:p>
        </w:tc>
        <w:tc>
          <w:tcPr>
            <w:tcW w:w="4153" w:type="dxa"/>
          </w:tcPr>
          <w:p>
            <w:pPr>
              <w:rPr>
                <w:highlight w:val="none"/>
              </w:rPr>
            </w:pPr>
            <w:r>
              <w:rPr>
                <w:highlight w:val="none"/>
              </w:rPr>
              <w:t>1)采购人及中标人双方将按照招标文件、中标人投标文件及双方最终确定的样品，对货物进行验收；货不对板，拒绝收货及安装。 2）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rPr>
                <w:highlight w:val="none"/>
              </w:rPr>
            </w:pPr>
            <w:r>
              <w:rPr>
                <w:highlight w:val="none"/>
              </w:rPr>
              <w:t>其他</w:t>
            </w:r>
          </w:p>
        </w:tc>
        <w:tc>
          <w:tcPr>
            <w:tcW w:w="4153" w:type="dxa"/>
          </w:tcPr>
          <w:p>
            <w:pPr>
              <w:rPr>
                <w:highlight w:val="none"/>
              </w:rPr>
            </w:pPr>
            <w:r>
              <w:rPr>
                <w:highlight w:val="none"/>
              </w:rPr>
              <w:t>其他要求:★在合同实施期间，如采购人发现有不满足招标文件要求的性能指标，采购人有权要求中标人将中标设备或设施送有资质的第三方专业检测机构检测，如发现有确实不满足招标文件要求，而投标文件却响应满足的，按递交虚假投标资料处理，将不予以验收和付款，采购人有权追回已支付的款项，并报请国家相关部门处理；不能提供中标设备或设施测试的，按递交虚假投标资料处理，并报请国家相关部门处理；送测费用先由中标人支付，测试通过，费用由采购人支付给中标人，测试不通过，费用由中标人自行承担。（投标人须提供承诺函并加盖公章，格式自拟）</w:t>
            </w:r>
          </w:p>
        </w:tc>
      </w:tr>
    </w:tbl>
    <w:p>
      <w:pPr>
        <w:rPr>
          <w:highlight w:val="none"/>
        </w:rPr>
      </w:pPr>
      <w:r>
        <w:rPr>
          <w:b/>
          <w:sz w:val="24"/>
          <w:highlight w:val="none"/>
        </w:rPr>
        <w:t>2.技术标准与要求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022"/>
        <w:gridCol w:w="1559"/>
        <w:gridCol w:w="1559"/>
        <w:gridCol w:w="426"/>
        <w:gridCol w:w="725"/>
        <w:gridCol w:w="686"/>
        <w:gridCol w:w="19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rPr>
                <w:highlight w:val="none"/>
              </w:rPr>
            </w:pPr>
            <w:r>
              <w:rPr>
                <w:highlight w:val="none"/>
              </w:rPr>
              <w:t>序号</w:t>
            </w:r>
          </w:p>
        </w:tc>
        <w:tc>
          <w:tcPr>
            <w:tcW w:w="1022" w:type="dxa"/>
          </w:tcPr>
          <w:p>
            <w:pPr>
              <w:rPr>
                <w:highlight w:val="none"/>
              </w:rPr>
            </w:pPr>
            <w:r>
              <w:rPr>
                <w:highlight w:val="none"/>
              </w:rPr>
              <w:t>核心产品（“△”）</w:t>
            </w:r>
          </w:p>
        </w:tc>
        <w:tc>
          <w:tcPr>
            <w:tcW w:w="1559" w:type="dxa"/>
          </w:tcPr>
          <w:p>
            <w:pPr>
              <w:rPr>
                <w:highlight w:val="none"/>
              </w:rPr>
            </w:pPr>
            <w:r>
              <w:rPr>
                <w:highlight w:val="none"/>
              </w:rPr>
              <w:t>品目名称</w:t>
            </w:r>
          </w:p>
        </w:tc>
        <w:tc>
          <w:tcPr>
            <w:tcW w:w="1559" w:type="dxa"/>
          </w:tcPr>
          <w:p>
            <w:pPr>
              <w:rPr>
                <w:highlight w:val="none"/>
              </w:rPr>
            </w:pPr>
            <w:r>
              <w:rPr>
                <w:highlight w:val="none"/>
              </w:rPr>
              <w:t>标的名称</w:t>
            </w:r>
          </w:p>
        </w:tc>
        <w:tc>
          <w:tcPr>
            <w:tcW w:w="426" w:type="dxa"/>
          </w:tcPr>
          <w:p>
            <w:pPr>
              <w:rPr>
                <w:highlight w:val="none"/>
              </w:rPr>
            </w:pPr>
            <w:r>
              <w:rPr>
                <w:highlight w:val="none"/>
              </w:rPr>
              <w:t>单位</w:t>
            </w:r>
          </w:p>
        </w:tc>
        <w:tc>
          <w:tcPr>
            <w:tcW w:w="725" w:type="dxa"/>
          </w:tcPr>
          <w:p>
            <w:pPr>
              <w:rPr>
                <w:highlight w:val="none"/>
              </w:rPr>
            </w:pPr>
            <w:r>
              <w:rPr>
                <w:highlight w:val="none"/>
              </w:rPr>
              <w:t>数量</w:t>
            </w:r>
          </w:p>
        </w:tc>
        <w:tc>
          <w:tcPr>
            <w:tcW w:w="686" w:type="dxa"/>
          </w:tcPr>
          <w:p>
            <w:pPr>
              <w:rPr>
                <w:highlight w:val="none"/>
              </w:rPr>
            </w:pPr>
            <w:r>
              <w:rPr>
                <w:highlight w:val="none"/>
              </w:rPr>
              <w:t>所属行业</w:t>
            </w:r>
          </w:p>
        </w:tc>
        <w:tc>
          <w:tcPr>
            <w:tcW w:w="1901" w:type="dxa"/>
          </w:tcPr>
          <w:p>
            <w:pPr>
              <w:rPr>
                <w:highlight w:val="none"/>
              </w:rPr>
            </w:pPr>
            <w:r>
              <w:rPr>
                <w:highlight w:val="none"/>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rPr>
                <w:highlight w:val="none"/>
              </w:rPr>
            </w:pPr>
            <w:r>
              <w:rPr>
                <w:highlight w:val="none"/>
              </w:rPr>
              <w:t>1</w:t>
            </w:r>
          </w:p>
        </w:tc>
        <w:tc>
          <w:tcPr>
            <w:tcW w:w="1022" w:type="dxa"/>
          </w:tcPr>
          <w:p>
            <w:pPr>
              <w:rPr>
                <w:highlight w:val="none"/>
              </w:rPr>
            </w:pPr>
          </w:p>
        </w:tc>
        <w:tc>
          <w:tcPr>
            <w:tcW w:w="1559" w:type="dxa"/>
          </w:tcPr>
          <w:p>
            <w:pPr>
              <w:rPr>
                <w:highlight w:val="none"/>
              </w:rPr>
            </w:pPr>
            <w:r>
              <w:rPr>
                <w:highlight w:val="none"/>
              </w:rPr>
              <w:t>其他货物</w:t>
            </w:r>
          </w:p>
        </w:tc>
        <w:tc>
          <w:tcPr>
            <w:tcW w:w="1559" w:type="dxa"/>
          </w:tcPr>
          <w:p>
            <w:pPr>
              <w:rPr>
                <w:highlight w:val="none"/>
              </w:rPr>
            </w:pPr>
            <w:r>
              <w:rPr>
                <w:rFonts w:hint="eastAsia"/>
                <w:highlight w:val="none"/>
              </w:rPr>
              <w:t>多媒体内容安全工程技术中心设备</w:t>
            </w:r>
          </w:p>
        </w:tc>
        <w:tc>
          <w:tcPr>
            <w:tcW w:w="426" w:type="dxa"/>
          </w:tcPr>
          <w:p>
            <w:pPr>
              <w:rPr>
                <w:highlight w:val="none"/>
              </w:rPr>
            </w:pPr>
            <w:r>
              <w:rPr>
                <w:highlight w:val="none"/>
              </w:rPr>
              <w:t>批</w:t>
            </w:r>
          </w:p>
        </w:tc>
        <w:tc>
          <w:tcPr>
            <w:tcW w:w="725" w:type="dxa"/>
          </w:tcPr>
          <w:p>
            <w:pPr>
              <w:jc w:val="right"/>
              <w:rPr>
                <w:highlight w:val="none"/>
              </w:rPr>
            </w:pPr>
            <w:r>
              <w:rPr>
                <w:highlight w:val="none"/>
              </w:rPr>
              <w:t>1.00</w:t>
            </w:r>
          </w:p>
        </w:tc>
        <w:tc>
          <w:tcPr>
            <w:tcW w:w="686" w:type="dxa"/>
          </w:tcPr>
          <w:p>
            <w:pPr>
              <w:rPr>
                <w:highlight w:val="none"/>
              </w:rPr>
            </w:pPr>
            <w:r>
              <w:rPr>
                <w:highlight w:val="none"/>
              </w:rPr>
              <w:t>工业</w:t>
            </w:r>
          </w:p>
        </w:tc>
        <w:tc>
          <w:tcPr>
            <w:tcW w:w="1901" w:type="dxa"/>
          </w:tcPr>
          <w:p>
            <w:pPr>
              <w:rPr>
                <w:highlight w:val="none"/>
              </w:rPr>
            </w:pPr>
            <w:r>
              <w:rPr>
                <w:highlight w:val="none"/>
              </w:rPr>
              <w:t>详见附表一</w:t>
            </w:r>
          </w:p>
        </w:tc>
      </w:tr>
    </w:tbl>
    <w:p>
      <w:pPr>
        <w:rPr>
          <w:highlight w:val="none"/>
        </w:rPr>
      </w:pPr>
      <w:r>
        <w:rPr>
          <w:highlight w:val="none"/>
        </w:rPr>
        <w:t>注：若存在多项核心产品，当不同供应商提供的任意一项核心产品的品牌相同，则视同其是所响应核心产品品牌相同供应商。</w:t>
      </w:r>
    </w:p>
    <w:p>
      <w:pPr>
        <w:rPr>
          <w:highlight w:val="none"/>
        </w:rPr>
      </w:pPr>
    </w:p>
    <w:p>
      <w:pPr>
        <w:rPr>
          <w:highlight w:val="none"/>
        </w:rPr>
      </w:pPr>
    </w:p>
    <w:p>
      <w:pPr>
        <w:rPr>
          <w:rFonts w:hint="eastAsia" w:eastAsiaTheme="minorEastAsia"/>
          <w:highlight w:val="none"/>
          <w:lang w:val="en-US" w:eastAsia="zh-CN"/>
        </w:rPr>
      </w:pPr>
      <w:r>
        <w:rPr>
          <w:b/>
          <w:sz w:val="24"/>
          <w:highlight w:val="none"/>
        </w:rPr>
        <w:t>附表一：</w:t>
      </w:r>
      <w:r>
        <w:rPr>
          <w:rFonts w:hint="eastAsia"/>
          <w:b/>
          <w:sz w:val="24"/>
          <w:highlight w:val="none"/>
          <w:lang w:val="en-US" w:eastAsia="zh-CN"/>
        </w:rPr>
        <w:t>工程技术中心</w:t>
      </w:r>
      <w:r>
        <w:rPr>
          <w:rFonts w:hint="eastAsia"/>
          <w:b/>
          <w:sz w:val="24"/>
          <w:highlight w:val="none"/>
        </w:rPr>
        <w:t>设备</w:t>
      </w:r>
      <w:r>
        <w:rPr>
          <w:rFonts w:hint="eastAsia"/>
          <w:b/>
          <w:sz w:val="24"/>
          <w:highlight w:val="none"/>
          <w:lang w:val="en-US" w:eastAsia="zh-CN"/>
        </w:rPr>
        <w:t>需求</w:t>
      </w:r>
    </w:p>
    <w:p>
      <w:pPr>
        <w:rPr>
          <w:highlight w:val="none"/>
        </w:rPr>
      </w:pPr>
      <w:r>
        <w:rPr>
          <w:b/>
          <w:sz w:val="21"/>
          <w:highlight w:val="none"/>
        </w:rPr>
        <w:t>1．采购项目列表</w:t>
      </w:r>
    </w:p>
    <w:tbl>
      <w:tblPr>
        <w:tblStyle w:val="10"/>
        <w:tblW w:w="0" w:type="auto"/>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3975"/>
        <w:gridCol w:w="1695"/>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条形桌（可拼接成10人位）</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高铁皮书柜</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矮铁皮书柜</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书柜</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打印机柜</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茶水柜</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卡座</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会议椅</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无源全频音箱</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专业立体声功放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音响支架</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真分集无线话筒双手持</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数字前级音频处理器</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98寸交互智能平板电视</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无线WIFI</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千兆路由器</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台式图形工作站</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23</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55寸安卓壁挂广告机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24</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吊顶式天花空调机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24口交换机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pPr>
        <w:rPr>
          <w:highlight w:val="none"/>
        </w:rPr>
      </w:pPr>
    </w:p>
    <w:p>
      <w:pPr>
        <w:rPr>
          <w:highlight w:val="none"/>
        </w:rPr>
      </w:pPr>
      <w:r>
        <w:rPr>
          <w:b/>
          <w:sz w:val="21"/>
          <w:highlight w:val="none"/>
        </w:rPr>
        <w:t>2.技术参数要求</w:t>
      </w:r>
    </w:p>
    <w:tbl>
      <w:tblPr>
        <w:tblStyle w:val="10"/>
        <w:tblW w:w="5488"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780"/>
        <w:gridCol w:w="6435"/>
        <w:gridCol w:w="645"/>
        <w:gridCol w:w="84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b/>
                <w:color w:val="auto"/>
                <w:sz w:val="21"/>
                <w:highlight w:val="none"/>
              </w:rPr>
              <w:t>序号</w:t>
            </w:r>
          </w:p>
        </w:tc>
        <w:tc>
          <w:tcPr>
            <w:tcW w:w="416" w:type="pct"/>
            <w:tcBorders>
              <w:top w:val="single" w:color="000000" w:sz="4" w:space="0"/>
              <w:left w:val="nil"/>
              <w:bottom w:val="single" w:color="000000" w:sz="4" w:space="0"/>
              <w:right w:val="single" w:color="000000" w:sz="4" w:space="0"/>
            </w:tcBorders>
            <w:vAlign w:val="center"/>
          </w:tcPr>
          <w:p>
            <w:pPr>
              <w:jc w:val="center"/>
              <w:rPr>
                <w:color w:val="auto"/>
                <w:highlight w:val="none"/>
              </w:rPr>
            </w:pPr>
            <w:r>
              <w:rPr>
                <w:b/>
                <w:color w:val="auto"/>
                <w:sz w:val="21"/>
                <w:highlight w:val="none"/>
              </w:rPr>
              <w:t>产品名称</w:t>
            </w:r>
          </w:p>
        </w:tc>
        <w:tc>
          <w:tcPr>
            <w:tcW w:w="3439" w:type="pct"/>
            <w:tcBorders>
              <w:top w:val="single" w:color="000000" w:sz="4" w:space="0"/>
              <w:left w:val="nil"/>
              <w:bottom w:val="single" w:color="000000" w:sz="4" w:space="0"/>
              <w:right w:val="single" w:color="000000" w:sz="4" w:space="0"/>
            </w:tcBorders>
            <w:vAlign w:val="center"/>
          </w:tcPr>
          <w:p>
            <w:pPr>
              <w:jc w:val="center"/>
              <w:rPr>
                <w:color w:val="auto"/>
                <w:highlight w:val="none"/>
              </w:rPr>
            </w:pPr>
            <w:r>
              <w:rPr>
                <w:b/>
                <w:color w:val="auto"/>
                <w:sz w:val="21"/>
                <w:highlight w:val="none"/>
              </w:rPr>
              <w:t>配置及性能说明</w:t>
            </w:r>
          </w:p>
        </w:tc>
        <w:tc>
          <w:tcPr>
            <w:tcW w:w="344" w:type="pct"/>
            <w:tcBorders>
              <w:top w:val="single" w:color="000000" w:sz="4" w:space="0"/>
              <w:left w:val="nil"/>
              <w:bottom w:val="single" w:color="000000" w:sz="4" w:space="0"/>
              <w:right w:val="single" w:color="000000" w:sz="4" w:space="0"/>
            </w:tcBorders>
            <w:vAlign w:val="center"/>
          </w:tcPr>
          <w:p>
            <w:pPr>
              <w:jc w:val="center"/>
              <w:rPr>
                <w:color w:val="auto"/>
                <w:highlight w:val="none"/>
              </w:rPr>
            </w:pPr>
            <w:r>
              <w:rPr>
                <w:b/>
                <w:color w:val="auto"/>
                <w:sz w:val="21"/>
                <w:highlight w:val="none"/>
              </w:rPr>
              <w:t>数量</w:t>
            </w:r>
          </w:p>
        </w:tc>
        <w:tc>
          <w:tcPr>
            <w:tcW w:w="452" w:type="pct"/>
            <w:tcBorders>
              <w:top w:val="single" w:color="000000" w:sz="4" w:space="0"/>
              <w:left w:val="nil"/>
              <w:bottom w:val="single" w:color="000000" w:sz="4" w:space="0"/>
              <w:right w:val="single" w:color="000000" w:sz="4" w:space="0"/>
            </w:tcBorders>
            <w:vAlign w:val="top"/>
          </w:tcPr>
          <w:p>
            <w:pPr>
              <w:jc w:val="center"/>
              <w:rPr>
                <w:color w:val="auto"/>
                <w:highlight w:val="none"/>
              </w:rPr>
            </w:pPr>
            <w:r>
              <w:rPr>
                <w:b/>
                <w:color w:val="auto"/>
                <w:sz w:val="21"/>
                <w:highlight w:val="none"/>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color w:val="auto"/>
                <w:highlight w:val="none"/>
              </w:rPr>
            </w:pPr>
            <w:r>
              <w:rPr>
                <w:color w:val="auto"/>
                <w:sz w:val="21"/>
                <w:highlight w:val="none"/>
              </w:rPr>
              <w:t>1</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条形桌（可拼接成10人位）</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基材: 台面及侧脚、挡板均为25MM，采用25厘E1级三聚氰胺实木颗粒静曲强度为板，16.9MPa，板材含水率为密度0.67g/c3,吸4.8%，水膨胀率为6.8%，优质绿色环保产品,甲醛释放量为0.3mg/L,具有防水防烫防污、防酸、防碱特点。五金配件:采用三联锁、铝合金拉手；</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长度110cm，宽度65cm，高度75cm</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FF"/>
                <w:kern w:val="0"/>
                <w:sz w:val="20"/>
                <w:szCs w:val="20"/>
                <w:highlight w:val="none"/>
                <w:u w:val="none"/>
                <w:lang w:val="en-US" w:eastAsia="zh-CN" w:bidi="ar"/>
              </w:rPr>
            </w:pPr>
            <w:r>
              <w:drawing>
                <wp:inline distT="0" distB="0" distL="114300" distR="114300">
                  <wp:extent cx="3257550" cy="307848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3257550" cy="307848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FF"/>
                <w:kern w:val="0"/>
                <w:sz w:val="20"/>
                <w:szCs w:val="20"/>
                <w:highlight w:val="none"/>
                <w:u w:val="none"/>
                <w:lang w:val="en-US" w:eastAsia="zh-CN" w:bidi="ar"/>
              </w:rPr>
            </w:pPr>
          </w:p>
        </w:tc>
        <w:tc>
          <w:tcPr>
            <w:tcW w:w="344"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0</w:t>
            </w:r>
          </w:p>
        </w:tc>
        <w:tc>
          <w:tcPr>
            <w:tcW w:w="452" w:type="pct"/>
            <w:tcBorders>
              <w:top w:val="nil"/>
              <w:left w:val="nil"/>
              <w:bottom w:val="single" w:color="000000" w:sz="4" w:space="0"/>
              <w:right w:val="single" w:color="000000" w:sz="4" w:space="0"/>
            </w:tcBorders>
            <w:vAlign w:val="center"/>
          </w:tcPr>
          <w:p>
            <w:pPr>
              <w:jc w:val="center"/>
              <w:rPr>
                <w:color w:val="auto"/>
                <w:highlight w:val="none"/>
              </w:rPr>
            </w:pPr>
            <w:r>
              <w:rPr>
                <w:rFonts w:hint="eastAsia" w:ascii="宋体" w:hAnsi="宋体" w:eastAsia="宋体" w:cs="宋体"/>
                <w:i w:val="0"/>
                <w:iCs w:val="0"/>
                <w:color w:val="000000"/>
                <w:kern w:val="0"/>
                <w:sz w:val="21"/>
                <w:szCs w:val="21"/>
                <w:u w:val="none"/>
                <w:lang w:val="en-US" w:eastAsia="zh-CN" w:bidi="ar"/>
              </w:rPr>
              <w:t>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auto" w:sz="4" w:space="0"/>
              <w:right w:val="single" w:color="000000" w:sz="4" w:space="0"/>
            </w:tcBorders>
            <w:vAlign w:val="center"/>
          </w:tcPr>
          <w:p>
            <w:pPr>
              <w:jc w:val="center"/>
              <w:rPr>
                <w:color w:val="auto"/>
                <w:highlight w:val="none"/>
              </w:rPr>
            </w:pPr>
            <w:r>
              <w:rPr>
                <w:color w:val="auto"/>
                <w:sz w:val="21"/>
                <w:highlight w:val="none"/>
              </w:rPr>
              <w:t>2</w:t>
            </w:r>
          </w:p>
        </w:tc>
        <w:tc>
          <w:tcPr>
            <w:tcW w:w="416" w:type="pct"/>
            <w:tcBorders>
              <w:top w:val="nil"/>
              <w:left w:val="nil"/>
              <w:bottom w:val="single" w:color="auto"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椅子</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1、办公椅；</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2、尺寸：63cm*57cm*120cm；</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3、面料材质：网布；</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4、海绵高弹海绵坐垫；</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5、靠背最大角度：120-155度(含)，气压升降；</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drawing>
                <wp:inline distT="0" distB="0" distL="114300" distR="114300">
                  <wp:extent cx="2145665" cy="2581275"/>
                  <wp:effectExtent l="0" t="0" r="6985" b="9525"/>
                  <wp:docPr id="4" name="图片 15" descr="3、办公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3、办公椅"/>
                          <pic:cNvPicPr>
                            <a:picLocks noChangeAspect="1"/>
                          </pic:cNvPicPr>
                        </pic:nvPicPr>
                        <pic:blipFill>
                          <a:blip r:embed="rId6"/>
                          <a:stretch>
                            <a:fillRect/>
                          </a:stretch>
                        </pic:blipFill>
                        <pic:spPr>
                          <a:xfrm>
                            <a:off x="0" y="0"/>
                            <a:ext cx="2145665" cy="25812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default" w:ascii="宋体" w:hAnsi="宋体" w:eastAsia="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jc w:val="center"/>
              <w:rPr>
                <w:color w:val="auto"/>
                <w:highlight w:val="none"/>
              </w:rPr>
            </w:pPr>
            <w:r>
              <w:rPr>
                <w:rFonts w:hint="eastAsia"/>
                <w:color w:val="auto"/>
                <w:highlight w:val="none"/>
                <w:lang w:val="en-US" w:eastAsia="zh-CN"/>
              </w:rPr>
              <w:t>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115"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pPr>
              <w:jc w:val="center"/>
              <w:rPr>
                <w:color w:val="auto"/>
                <w:sz w:val="21"/>
                <w:highlight w:val="none"/>
              </w:rPr>
            </w:pPr>
            <w:r>
              <w:rPr>
                <w:color w:val="auto"/>
                <w:sz w:val="21"/>
                <w:highlight w:val="none"/>
              </w:rPr>
              <w:t>3</w:t>
            </w:r>
          </w:p>
        </w:tc>
        <w:tc>
          <w:tcPr>
            <w:tcW w:w="41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高铁皮书柜</w:t>
            </w:r>
          </w:p>
        </w:tc>
        <w:tc>
          <w:tcPr>
            <w:tcW w:w="3439" w:type="pct"/>
            <w:tcBorders>
              <w:top w:val="nil"/>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定制：书柜长140*宽35*高1850cm，</w:t>
            </w:r>
            <w:r>
              <w:rPr>
                <w:rFonts w:ascii="PingFang SC" w:hAnsi="PingFang SC" w:eastAsia="PingFang SC" w:cs="PingFang SC"/>
                <w:i w:val="0"/>
                <w:iCs w:val="0"/>
                <w:caps w:val="0"/>
                <w:color w:val="4E4E4E"/>
                <w:spacing w:val="0"/>
                <w:sz w:val="21"/>
                <w:szCs w:val="21"/>
                <w:shd w:val="clear" w:fill="FFFFFF"/>
              </w:rPr>
              <w:t>钢</w:t>
            </w:r>
            <w:r>
              <w:rPr>
                <w:rFonts w:hint="eastAsia" w:ascii="PingFang SC" w:hAnsi="PingFang SC" w:eastAsia="宋体" w:cs="PingFang SC"/>
                <w:i w:val="0"/>
                <w:iCs w:val="0"/>
                <w:caps w:val="0"/>
                <w:color w:val="4E4E4E"/>
                <w:spacing w:val="0"/>
                <w:sz w:val="21"/>
                <w:szCs w:val="21"/>
                <w:shd w:val="clear" w:fill="FFFFFF"/>
                <w:lang w:val="en-US" w:eastAsia="zh-CN"/>
              </w:rPr>
              <w:t>制，</w:t>
            </w:r>
            <w:r>
              <w:rPr>
                <w:rFonts w:hint="eastAsia" w:ascii="宋体" w:hAnsi="宋体" w:eastAsia="宋体" w:cs="宋体"/>
                <w:i w:val="0"/>
                <w:iCs w:val="0"/>
                <w:color w:val="auto"/>
                <w:kern w:val="0"/>
                <w:sz w:val="20"/>
                <w:szCs w:val="20"/>
                <w:highlight w:val="none"/>
                <w:u w:val="none"/>
                <w:lang w:val="en-US" w:eastAsia="zh-CN" w:bidi="ar"/>
              </w:rPr>
              <w:t>带玻璃，白色，推拉门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pPr>
            <w:r>
              <w:drawing>
                <wp:inline distT="0" distB="0" distL="114300" distR="114300">
                  <wp:extent cx="2157095" cy="3439160"/>
                  <wp:effectExtent l="0" t="0" r="14605"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2157095" cy="343916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lang w:val="en-US" w:eastAsia="zh-CN"/>
              </w:rPr>
            </w:pPr>
          </w:p>
        </w:tc>
        <w:tc>
          <w:tcPr>
            <w:tcW w:w="344" w:type="pct"/>
            <w:tcBorders>
              <w:top w:val="nil"/>
              <w:left w:val="nil"/>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452" w:type="pct"/>
            <w:tcBorders>
              <w:top w:val="nil"/>
              <w:left w:val="nil"/>
              <w:right w:val="single" w:color="000000" w:sz="4" w:space="0"/>
            </w:tcBorders>
            <w:vAlign w:val="center"/>
          </w:tcPr>
          <w:p>
            <w:pPr>
              <w:jc w:val="center"/>
              <w:rPr>
                <w:rFonts w:hint="default"/>
                <w:color w:val="auto"/>
                <w:highlight w:val="none"/>
                <w:lang w:val="en-US" w:eastAsia="zh-CN"/>
              </w:rPr>
            </w:pPr>
            <w:r>
              <w:rPr>
                <w:rFonts w:hint="eastAsia"/>
                <w:color w:val="auto"/>
                <w:highlight w:val="none"/>
                <w:lang w:val="en-US" w:eastAsia="zh-CN"/>
              </w:rPr>
              <w:t>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color w:val="auto"/>
                <w:sz w:val="21"/>
                <w:highlight w:val="none"/>
                <w:lang w:val="en-US" w:eastAsia="zh-CN"/>
              </w:rPr>
            </w:pPr>
            <w:r>
              <w:rPr>
                <w:rFonts w:hint="eastAsia"/>
                <w:color w:val="auto"/>
                <w:sz w:val="21"/>
                <w:highlight w:val="none"/>
                <w:lang w:val="en-US" w:eastAsia="zh-CN"/>
              </w:rPr>
              <w:t>4</w:t>
            </w:r>
          </w:p>
        </w:tc>
        <w:tc>
          <w:tcPr>
            <w:tcW w:w="41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矮铁皮书柜</w:t>
            </w:r>
          </w:p>
        </w:tc>
        <w:tc>
          <w:tcPr>
            <w:tcW w:w="34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定制：书柜长140*宽35*高925cm，钢质，白色，带玻璃，推拉门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pPr>
            <w:r>
              <w:drawing>
                <wp:inline distT="0" distB="0" distL="114300" distR="114300">
                  <wp:extent cx="3324225" cy="286702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3324225" cy="286702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lang w:val="en-US" w:eastAsia="zh-CN"/>
              </w:rPr>
            </w:pPr>
          </w:p>
        </w:tc>
        <w:tc>
          <w:tcPr>
            <w:tcW w:w="344" w:type="pct"/>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jc w:val="center"/>
              <w:rPr>
                <w:rFonts w:hint="default"/>
                <w:color w:val="auto"/>
                <w:highlight w:val="none"/>
                <w:lang w:val="en-US" w:eastAsia="zh-CN"/>
              </w:rPr>
            </w:pPr>
            <w:r>
              <w:rPr>
                <w:rFonts w:hint="eastAsia"/>
                <w:color w:val="auto"/>
                <w:highlight w:val="none"/>
                <w:lang w:val="en-US" w:eastAsia="zh-CN"/>
              </w:rPr>
              <w:t>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color w:val="auto"/>
                <w:sz w:val="21"/>
                <w:highlight w:val="none"/>
                <w:lang w:val="en-US" w:eastAsia="zh-CN"/>
              </w:rPr>
            </w:pPr>
            <w:r>
              <w:rPr>
                <w:rFonts w:hint="eastAsia"/>
                <w:color w:val="auto"/>
                <w:sz w:val="21"/>
                <w:highlight w:val="none"/>
                <w:lang w:val="en-US" w:eastAsia="zh-CN"/>
              </w:rPr>
              <w:t>5</w:t>
            </w:r>
          </w:p>
        </w:tc>
        <w:tc>
          <w:tcPr>
            <w:tcW w:w="41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书柜</w:t>
            </w:r>
          </w:p>
        </w:tc>
        <w:tc>
          <w:tcPr>
            <w:tcW w:w="34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定制：书柜长240*宽30*高120cm，带磨砂玻璃，灰白配色，推拉门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pPr>
            <w:r>
              <w:drawing>
                <wp:inline distT="0" distB="0" distL="114300" distR="114300">
                  <wp:extent cx="3582035" cy="1515110"/>
                  <wp:effectExtent l="0" t="0" r="18415" b="889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9"/>
                          <a:stretch>
                            <a:fillRect/>
                          </a:stretch>
                        </pic:blipFill>
                        <pic:spPr>
                          <a:xfrm>
                            <a:off x="0" y="0"/>
                            <a:ext cx="3582035" cy="151511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jc w:val="both"/>
              <w:textAlignment w:val="cente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lang w:val="en-US" w:eastAsia="zh-CN"/>
              </w:rPr>
            </w:pPr>
          </w:p>
        </w:tc>
        <w:tc>
          <w:tcPr>
            <w:tcW w:w="344" w:type="pct"/>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jc w:val="center"/>
              <w:rPr>
                <w:rFonts w:hint="default"/>
                <w:color w:val="auto"/>
                <w:highlight w:val="none"/>
                <w:lang w:val="en-US" w:eastAsia="zh-CN"/>
              </w:rPr>
            </w:pPr>
            <w:r>
              <w:rPr>
                <w:rFonts w:hint="eastAsia"/>
                <w:color w:val="auto"/>
                <w:highlight w:val="none"/>
                <w:lang w:val="en-US" w:eastAsia="zh-CN"/>
              </w:rPr>
              <w:t>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color w:val="auto"/>
                <w:sz w:val="21"/>
                <w:highlight w:val="none"/>
                <w:lang w:val="en-US" w:eastAsia="zh-CN"/>
              </w:rPr>
            </w:pPr>
            <w:r>
              <w:rPr>
                <w:rFonts w:hint="eastAsia"/>
                <w:color w:val="auto"/>
                <w:sz w:val="21"/>
                <w:highlight w:val="none"/>
                <w:lang w:val="en-US" w:eastAsia="zh-CN"/>
              </w:rPr>
              <w:t>6</w:t>
            </w:r>
          </w:p>
        </w:tc>
        <w:tc>
          <w:tcPr>
            <w:tcW w:w="41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打印机柜</w:t>
            </w:r>
          </w:p>
        </w:tc>
        <w:tc>
          <w:tcPr>
            <w:tcW w:w="34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定制：打印机柜长80*宽45*高60cm，灰白配色，带轮子</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drawing>
                <wp:inline distT="0" distB="0" distL="114300" distR="114300">
                  <wp:extent cx="2038350" cy="1839595"/>
                  <wp:effectExtent l="0" t="0" r="0" b="825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0"/>
                          <a:stretch>
                            <a:fillRect/>
                          </a:stretch>
                        </pic:blipFill>
                        <pic:spPr>
                          <a:xfrm>
                            <a:off x="0" y="0"/>
                            <a:ext cx="2038350" cy="183959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bookmarkStart w:id="3" w:name="_GoBack"/>
            <w:bookmarkEnd w:id="3"/>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344" w:type="pct"/>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jc w:val="center"/>
              <w:rPr>
                <w:rFonts w:hint="default"/>
                <w:color w:val="auto"/>
                <w:highlight w:val="none"/>
                <w:lang w:val="en-US" w:eastAsia="zh-CN"/>
              </w:rPr>
            </w:pPr>
            <w:r>
              <w:rPr>
                <w:rFonts w:hint="eastAsia"/>
                <w:color w:val="auto"/>
                <w:highlight w:val="none"/>
                <w:lang w:val="en-US" w:eastAsia="zh-CN"/>
              </w:rPr>
              <w:t>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color w:val="auto"/>
                <w:sz w:val="21"/>
                <w:highlight w:val="none"/>
                <w:lang w:val="en-US" w:eastAsia="zh-CN"/>
              </w:rPr>
            </w:pPr>
            <w:r>
              <w:rPr>
                <w:rFonts w:hint="eastAsia"/>
                <w:color w:val="auto"/>
                <w:sz w:val="21"/>
                <w:highlight w:val="none"/>
                <w:lang w:val="en-US" w:eastAsia="zh-CN"/>
              </w:rPr>
              <w:t>7</w:t>
            </w:r>
          </w:p>
        </w:tc>
        <w:tc>
          <w:tcPr>
            <w:tcW w:w="41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茶水柜</w:t>
            </w:r>
          </w:p>
        </w:tc>
        <w:tc>
          <w:tcPr>
            <w:tcW w:w="34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定制：茶水柜长80*宽40*100cm，灰白配色</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drawing>
                <wp:inline distT="0" distB="0" distL="114300" distR="114300">
                  <wp:extent cx="2002155" cy="1758950"/>
                  <wp:effectExtent l="0" t="0" r="17145" b="1270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1"/>
                          <a:stretch>
                            <a:fillRect/>
                          </a:stretch>
                        </pic:blipFill>
                        <pic:spPr>
                          <a:xfrm>
                            <a:off x="0" y="0"/>
                            <a:ext cx="2002155" cy="175895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344" w:type="pct"/>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jc w:val="center"/>
              <w:rPr>
                <w:rFonts w:hint="default"/>
                <w:color w:val="auto"/>
                <w:highlight w:val="none"/>
                <w:lang w:val="en-US" w:eastAsia="zh-CN"/>
              </w:rPr>
            </w:pPr>
            <w:r>
              <w:rPr>
                <w:rFonts w:hint="eastAsia"/>
                <w:color w:val="auto"/>
                <w:highlight w:val="none"/>
                <w:lang w:val="en-US" w:eastAsia="zh-CN"/>
              </w:rPr>
              <w:t>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single" w:color="auto" w:sz="4" w:space="0"/>
              <w:left w:val="single" w:color="000000" w:sz="4" w:space="0"/>
              <w:bottom w:val="single" w:color="000000" w:sz="4" w:space="0"/>
              <w:right w:val="single" w:color="000000" w:sz="4" w:space="0"/>
            </w:tcBorders>
            <w:vAlign w:val="center"/>
          </w:tcPr>
          <w:p>
            <w:pPr>
              <w:jc w:val="center"/>
              <w:rPr>
                <w:rFonts w:hint="default" w:eastAsiaTheme="minorEastAsia"/>
                <w:color w:val="auto"/>
                <w:sz w:val="21"/>
                <w:highlight w:val="none"/>
                <w:lang w:val="en-US" w:eastAsia="zh-CN"/>
              </w:rPr>
            </w:pPr>
            <w:r>
              <w:rPr>
                <w:rFonts w:hint="eastAsia"/>
                <w:color w:val="auto"/>
                <w:sz w:val="21"/>
                <w:highlight w:val="none"/>
                <w:lang w:val="en-US" w:eastAsia="zh-CN"/>
              </w:rPr>
              <w:t>8</w:t>
            </w:r>
          </w:p>
        </w:tc>
        <w:tc>
          <w:tcPr>
            <w:tcW w:w="416" w:type="pct"/>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卡座</w:t>
            </w:r>
          </w:p>
        </w:tc>
        <w:tc>
          <w:tcPr>
            <w:tcW w:w="3439" w:type="pct"/>
            <w:tcBorders>
              <w:top w:val="single" w:color="auto"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定制办公桌卡座L型桌长140*65cm,灰白配色，带移动储物柜长140*宽45</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pPr>
            <w:r>
              <w:drawing>
                <wp:inline distT="0" distB="0" distL="114300" distR="114300">
                  <wp:extent cx="4133850" cy="2324100"/>
                  <wp:effectExtent l="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2"/>
                          <a:stretch>
                            <a:fillRect/>
                          </a:stretch>
                        </pic:blipFill>
                        <pic:spPr>
                          <a:xfrm>
                            <a:off x="0" y="0"/>
                            <a:ext cx="4133850" cy="23241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jc w:val="both"/>
              <w:textAlignment w:val="cente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jc w:val="center"/>
              <w:rPr>
                <w:rFonts w:hint="default"/>
                <w:color w:val="auto"/>
                <w:highlight w:val="none"/>
                <w:lang w:val="en-US" w:eastAsia="zh-CN"/>
              </w:rPr>
            </w:pPr>
            <w:r>
              <w:rPr>
                <w:rFonts w:hint="eastAsia"/>
                <w:color w:val="auto"/>
                <w:highlight w:val="none"/>
                <w:lang w:val="en-US" w:eastAsia="zh-CN"/>
              </w:rPr>
              <w:t>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left w:val="single" w:color="000000" w:sz="4" w:space="0"/>
              <w:bottom w:val="single" w:color="000000" w:sz="4" w:space="0"/>
              <w:right w:val="single" w:color="000000" w:sz="4" w:space="0"/>
            </w:tcBorders>
            <w:vAlign w:val="center"/>
          </w:tcPr>
          <w:p>
            <w:pPr>
              <w:jc w:val="center"/>
              <w:rPr>
                <w:rFonts w:hint="default" w:eastAsiaTheme="minorEastAsia"/>
                <w:color w:val="auto"/>
                <w:sz w:val="21"/>
                <w:highlight w:val="none"/>
                <w:lang w:val="en-US" w:eastAsia="zh-CN"/>
              </w:rPr>
            </w:pPr>
            <w:r>
              <w:rPr>
                <w:rFonts w:hint="eastAsia"/>
                <w:color w:val="auto"/>
                <w:sz w:val="21"/>
                <w:highlight w:val="none"/>
                <w:lang w:val="en-US" w:eastAsia="zh-CN"/>
              </w:rPr>
              <w:t>9</w:t>
            </w:r>
          </w:p>
        </w:tc>
        <w:tc>
          <w:tcPr>
            <w:tcW w:w="416" w:type="pct"/>
            <w:tcBorders>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会议桌</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定制120*1200cm，灰白配色</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drawing>
                <wp:inline distT="0" distB="0" distL="114300" distR="114300">
                  <wp:extent cx="3086100" cy="2209800"/>
                  <wp:effectExtent l="0" t="0" r="0" b="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3"/>
                          <a:stretch>
                            <a:fillRect/>
                          </a:stretch>
                        </pic:blipFill>
                        <pic:spPr>
                          <a:xfrm>
                            <a:off x="0" y="0"/>
                            <a:ext cx="3086100" cy="22098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452" w:type="pct"/>
            <w:tcBorders>
              <w:top w:val="nil"/>
              <w:left w:val="nil"/>
              <w:bottom w:val="single" w:color="000000" w:sz="4" w:space="0"/>
              <w:right w:val="single" w:color="000000" w:sz="4" w:space="0"/>
            </w:tcBorders>
            <w:vAlign w:val="center"/>
          </w:tcPr>
          <w:p>
            <w:pPr>
              <w:jc w:val="center"/>
              <w:rPr>
                <w:rFonts w:hint="default"/>
                <w:color w:val="auto"/>
                <w:highlight w:val="none"/>
                <w:lang w:val="en-US" w:eastAsia="zh-CN"/>
              </w:rPr>
            </w:pPr>
            <w:r>
              <w:rPr>
                <w:rFonts w:hint="eastAsia"/>
                <w:color w:val="auto"/>
                <w:highlight w:val="none"/>
                <w:lang w:val="en-US" w:eastAsia="zh-CN"/>
              </w:rPr>
              <w:t>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525" w:hRule="atLeast"/>
          <w:jc w:val="center"/>
        </w:trPr>
        <w:tc>
          <w:tcPr>
            <w:tcW w:w="346" w:type="pct"/>
            <w:tcBorders>
              <w:left w:val="single" w:color="000000" w:sz="4" w:space="0"/>
              <w:bottom w:val="single" w:color="000000" w:sz="4" w:space="0"/>
              <w:right w:val="single" w:color="000000" w:sz="4" w:space="0"/>
            </w:tcBorders>
            <w:vAlign w:val="center"/>
          </w:tcPr>
          <w:p>
            <w:pPr>
              <w:jc w:val="center"/>
              <w:rPr>
                <w:rFonts w:hint="default" w:eastAsiaTheme="minorEastAsia"/>
                <w:color w:val="auto"/>
                <w:sz w:val="21"/>
                <w:highlight w:val="none"/>
                <w:lang w:val="en-US" w:eastAsia="zh-CN"/>
              </w:rPr>
            </w:pPr>
            <w:r>
              <w:rPr>
                <w:rFonts w:hint="eastAsia"/>
                <w:color w:val="auto"/>
                <w:sz w:val="21"/>
                <w:highlight w:val="none"/>
                <w:lang w:val="en-US" w:eastAsia="zh-CN"/>
              </w:rPr>
              <w:t>10</w:t>
            </w:r>
          </w:p>
        </w:tc>
        <w:tc>
          <w:tcPr>
            <w:tcW w:w="416" w:type="pct"/>
            <w:tcBorders>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会议椅</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eastAsia="宋体"/>
                <w:lang w:val="en-US" w:eastAsia="zh-CN"/>
              </w:rPr>
            </w:pPr>
            <w:r>
              <w:rPr>
                <w:rFonts w:hint="eastAsia"/>
              </w:rPr>
              <w:t>MS-950奇维凳</w:t>
            </w:r>
            <w:r>
              <w:rPr>
                <w:rFonts w:hint="eastAsia"/>
                <w:lang w:eastAsia="zh-CN"/>
              </w:rPr>
              <w:t>，</w:t>
            </w:r>
            <w:r>
              <w:rPr>
                <w:rFonts w:ascii="PingFang SC" w:hAnsi="PingFang SC" w:eastAsia="PingFang SC" w:cs="PingFang SC"/>
                <w:i w:val="0"/>
                <w:iCs w:val="0"/>
                <w:caps w:val="0"/>
                <w:color w:val="4E4E4E"/>
                <w:spacing w:val="0"/>
                <w:sz w:val="21"/>
                <w:szCs w:val="21"/>
                <w:shd w:val="clear" w:fill="FFFFFF"/>
              </w:rPr>
              <w:t>塑料</w:t>
            </w:r>
            <w:r>
              <w:rPr>
                <w:rFonts w:hint="eastAsia" w:ascii="PingFang SC" w:hAnsi="PingFang SC" w:eastAsia="宋体" w:cs="PingFang SC"/>
                <w:i w:val="0"/>
                <w:iCs w:val="0"/>
                <w:caps w:val="0"/>
                <w:color w:val="4E4E4E"/>
                <w:spacing w:val="0"/>
                <w:sz w:val="21"/>
                <w:szCs w:val="21"/>
                <w:shd w:val="clear" w:fill="FFFFFF"/>
                <w:lang w:eastAsia="zh-CN"/>
              </w:rPr>
              <w:t>，</w:t>
            </w:r>
            <w:r>
              <w:rPr>
                <w:rFonts w:hint="eastAsia" w:ascii="PingFang SC" w:hAnsi="PingFang SC" w:eastAsia="宋体" w:cs="PingFang SC"/>
                <w:i w:val="0"/>
                <w:iCs w:val="0"/>
                <w:caps w:val="0"/>
                <w:color w:val="4E4E4E"/>
                <w:spacing w:val="0"/>
                <w:sz w:val="21"/>
                <w:szCs w:val="21"/>
                <w:shd w:val="clear" w:fill="FFFFFF"/>
                <w:lang w:val="en-US" w:eastAsia="zh-CN"/>
              </w:rPr>
              <w:t>灰色</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eastAsia="宋体" w:cs="宋体"/>
                <w:i w:val="0"/>
                <w:iCs w:val="0"/>
                <w:color w:val="auto"/>
                <w:kern w:val="0"/>
                <w:sz w:val="20"/>
                <w:szCs w:val="20"/>
                <w:highlight w:val="none"/>
                <w:u w:val="none"/>
                <w:lang w:val="en-US" w:eastAsia="zh-CN" w:bidi="ar"/>
              </w:rPr>
            </w:pPr>
            <w:r>
              <w:drawing>
                <wp:inline distT="0" distB="0" distL="114300" distR="114300">
                  <wp:extent cx="1186815" cy="1972310"/>
                  <wp:effectExtent l="0" t="0" r="13335" b="889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4"/>
                          <a:stretch>
                            <a:fillRect/>
                          </a:stretch>
                        </pic:blipFill>
                        <pic:spPr>
                          <a:xfrm>
                            <a:off x="0" y="0"/>
                            <a:ext cx="1186815" cy="1972310"/>
                          </a:xfrm>
                          <a:prstGeom prst="rect">
                            <a:avLst/>
                          </a:prstGeom>
                          <a:noFill/>
                          <a:ln>
                            <a:noFill/>
                          </a:ln>
                        </pic:spPr>
                      </pic:pic>
                    </a:graphicData>
                  </a:graphic>
                </wp:inline>
              </w:drawing>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452" w:type="pct"/>
            <w:tcBorders>
              <w:top w:val="nil"/>
              <w:left w:val="nil"/>
              <w:bottom w:val="single" w:color="000000" w:sz="4" w:space="0"/>
              <w:right w:val="single" w:color="000000" w:sz="4" w:space="0"/>
            </w:tcBorders>
            <w:vAlign w:val="center"/>
          </w:tcPr>
          <w:p>
            <w:pPr>
              <w:jc w:val="center"/>
              <w:rPr>
                <w:rFonts w:hint="default"/>
                <w:color w:val="auto"/>
                <w:highlight w:val="none"/>
                <w:lang w:val="en-US" w:eastAsia="zh-CN"/>
              </w:rPr>
            </w:pPr>
            <w:r>
              <w:rPr>
                <w:rFonts w:hint="eastAsia"/>
                <w:color w:val="auto"/>
                <w:highlight w:val="none"/>
                <w:lang w:val="en-US" w:eastAsia="zh-CN"/>
              </w:rPr>
              <w:t>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color w:val="auto"/>
                <w:sz w:val="21"/>
                <w:highlight w:val="none"/>
              </w:rPr>
            </w:pPr>
          </w:p>
          <w:p>
            <w:pPr>
              <w:jc w:val="center"/>
              <w:rPr>
                <w:rFonts w:hint="default" w:eastAsiaTheme="minorEastAsia"/>
                <w:color w:val="auto"/>
                <w:sz w:val="21"/>
                <w:highlight w:val="none"/>
                <w:lang w:val="en-US" w:eastAsia="zh-CN"/>
              </w:rPr>
            </w:pPr>
            <w:r>
              <w:rPr>
                <w:rFonts w:hint="eastAsia"/>
                <w:color w:val="auto"/>
                <w:sz w:val="21"/>
                <w:highlight w:val="none"/>
                <w:lang w:val="en-US" w:eastAsia="zh-CN"/>
              </w:rPr>
              <w:t>11</w:t>
            </w:r>
          </w:p>
          <w:p>
            <w:pPr>
              <w:jc w:val="center"/>
              <w:rPr>
                <w:color w:val="auto"/>
                <w:sz w:val="21"/>
                <w:highlight w:val="none"/>
              </w:rPr>
            </w:pPr>
          </w:p>
          <w:p>
            <w:pPr>
              <w:jc w:val="center"/>
              <w:rPr>
                <w:color w:val="auto"/>
                <w:highlight w:val="none"/>
              </w:rPr>
            </w:pP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无源全频音箱</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1、1×10"低频驱动单元；</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2、1×1.35"钛膜压缩高音单元</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3、额定功率不小于250W/8Ω</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4、单元结构LF:10"低音×1，HF:1"高音×1</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5、频响范围(±3dB)：56 Hz -20,000Hz</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6、灵敏度（折算到1m，1W）：≧96dB±2dB</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▲7、输出声压级不小于121dB(连续声压级)；127dB(最大声压级),（提供须满足具备CMA、CNAS、ILAC-MRA标识的国家级质量检测中心出具的第三方检测报告，注：检测报告需体现相关参数，并加盖厂家公章）</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8、单只水平覆盖范围：90°；单只垂直覆盖范围：60°</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r>
              <w:rPr>
                <w:rFonts w:hint="eastAsia"/>
                <w:color w:val="auto"/>
                <w:highlight w:val="none"/>
              </w:rPr>
              <w:t>9、可旋转号筒设计。</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color w:val="auto"/>
                <w:sz w:val="21"/>
                <w:highlight w:val="none"/>
                <w:lang w:val="en-US" w:eastAsia="zh-CN"/>
              </w:rPr>
              <w:t>12</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专业立体声功放</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1.全新的外观设计，标准机箱，适合标准机柜安装；</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2.双声道平衡专业功率放大器,每声道音量单独可调；</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3.支持2路XLR接口信号输入，2路6.35mm接口信号输入，使用更方便和灵活；</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4.支持三种输出方式可选选：双声道、单声道和BTL桥接；支持常用接线柱和专业SPEAKON扬声器插座（仅限于立体声工作模式）两种方式功率输出；</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▲5.支持智能保护模式，具有短路保护、直流保护、电源通断多种保护和告警系统；（投标时需提供“一种功放保护电路”的证明文件以说明功放具有系统）</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6.采用温度补偿技术和低噪声设计，左右两侧各配置一个散热窗口，保障良好的通风散热,高温下仍然维持稳定的工作状态；</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7.多个功率级别的设计满足于不同场合的应用需求,每声道（8Ω）额定输出≥400W，每声道（4Ω）额定输出≥700W，桥接（8Ω）额定输出≥1400W；</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▲8.为保证系统安全稳定运行需满足以下要求:每声道（4Ω）最大不失真输出功率：≥700W；增益限制的有效频率范围：20-20000Hz；总谐波失真：≤0.26%；最小源电动势：≤1085mV；信噪比：≥102dB；（提供根据GB/T 12060.3-2011声系统设备关于声频放大器测量方式检测合格的检测报告复印件加盖公章）；</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▲9、2*2音频路由混音，混音比例-80dB～+18dB,（提供具有“CMA”或“CNAS”标识的第三方检测机构出具有效的检测报告复印件）；</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▲10、每通道具备17个滤波器(输入：高低通滤波器，8段参量EQ（±24dB）；输出：高低通滤波器，5段参量EQ（±24dB）),（提供具有“CMA”或“CNAS”标识的第三方检测机构出具有效的检测报告复印件）；</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11、音量、静音、相位调节，模式选择；</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color w:val="auto"/>
                <w:sz w:val="21"/>
                <w:highlight w:val="none"/>
                <w:lang w:val="en-US" w:eastAsia="zh-CN"/>
              </w:rPr>
              <w:t>13</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音响支架</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全金属音箱壁架</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材料：钢材</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承重30公斤</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重：3.6KG/对</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可左右调节角度，中间杆子可伸缩调节，</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color w:val="auto"/>
                <w:sz w:val="21"/>
                <w:highlight w:val="none"/>
                <w:lang w:val="en-US" w:eastAsia="zh-CN"/>
              </w:rPr>
              <w:t>14</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真分集无线话筒双手持</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1.采用UHF超高频段真分集接收方式，并采用PLL锁相环多信道频率合成技术，有效避免断频现象和延长接收距离，传输更稳定；</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2.两个真分集模组一体化，每个模组两个加长L型天线，共4条天线，接收效果更好；</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3.采用红外线对频，每通道音量单独可调；</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4.支持平衡XLR输出和不平衡6.3mm输出；</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5.采用专业音频压缩-扩展技术，噪音小，尾音小,动态范围大；</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6.具有高保真音色,独特的干扰噪音静噪功能；</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7.高档液晶显示屏，可显示频率、频道、静噪、电平等信息，人机对话一目了然；</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8.可锁定功能按键,防止在设置完成后意外更改系统设置；</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9.系统内任何一支话筒与任何一台接收机都可对频，解决了固定频率麦克风不通用的缺点，适合多套产品在同一场合使用；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color w:val="auto"/>
                <w:sz w:val="21"/>
                <w:highlight w:val="none"/>
                <w:lang w:val="en-US" w:eastAsia="zh-CN"/>
              </w:rPr>
              <w:t>15</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数字前级音频处理器</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1.支持汉字液晶屏蓝色背光显示功能，支持≥6段LED显示输入和输出的精确数字电平表、哑音及编辑状态；</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2.支持96KHz采样频率，内置32-bitDSP处理器，支持24-bitA/D及D/A转换；</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3.支持≥2路可选音频信号输入，≥1路光纤信号输入，≥1路同轴信号输入，≥6路音频信号输出，≥5路话筒输入，每路输出支持光纤输出模式，可灵活组合多种分频模式，高、低通分频点均可达20Hz～20KHz；4.支持光纤和同轴输入音乐信号，每路输出提供光纤输出模式；</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5.支持通过旋转面板的不同旋钮可分别控制话筒音量，效果音量，音乐音量和总音量；</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6.每个输入和输出均有延时和相位控制及哑音设置，输入延时≥30ms，输出延时≥60ms，效果自带三段参量均衡和一对高低通滤波器；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7.输入通道支持调噪声门，输出通道支持控制增益、压限及选择输入通道信号，并支持将某通道的所有参数复制到另外一个通道并能进行联动控制；</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8.输出通道支持控制该通道的效果比例、话筒音量、音乐音量和效果音量；</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auto"/>
                <w:highlight w:val="none"/>
              </w:rPr>
            </w:pPr>
            <w:r>
              <w:rPr>
                <w:rFonts w:hint="eastAsia"/>
                <w:color w:val="auto"/>
                <w:highlight w:val="none"/>
              </w:rPr>
              <w:t>9.支持通过面板的功能键和拔轮进行功能设置，支持连接电脑通过PC控制软件来控制设备；</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r>
              <w:rPr>
                <w:rFonts w:hint="eastAsia"/>
                <w:color w:val="auto"/>
                <w:highlight w:val="none"/>
              </w:rPr>
              <w:t>▲10.为保证系统安全稳定运行需满足以下要求:总谐波失真：≤0.008%；增益限制的有效频率范围：10-32000Hz；信噪比：≥118dB；通道分离度：≥96dB（提供根据GB/T 12060.3-2011声系统设备关于声频放大器测量方式检测合格的检测报告复印件加盖公章）。</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16</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电源控制器</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1、输入：三相五线制 AC380V±10％，50/60Hz；</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2、输出：12路输出，每路功率4KW；</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▲3、12路输出具备一键式顺序、逆序开关，也可以选择输出通道及其开启顺序，同时具有可以每路独立开关功能；</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4、具有定时开启与关闭功能</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5、每路输出由液压电磁式断路器提供过载、短路保护；</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6、每路输出通道都具有电流电压测量、漏电报警；</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7、手机和电脑上可以远程实时监控每路输出通道的电流、功率、温度、设备运行时长和三相平衡等参数；</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设备内部温度检测报警，上传至云端，实时数据监测；（提供第三方检测机构出具的检测报告复印件佐证，检测报告编号可在全国认证认可信息公共服务平台（www.cnca.cn）查询，提供查询截图,检测报告原件备查）</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9、显示：2.8寸触摸屏，可以显示设备状态；</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10、通过物联网云平台或APP远程控制每路输出的通断；</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11、支持中控功能：可以通过Rs485向设备发送通讯协议控制设备通道开关；</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12、支持远程升级：设备联网后可以通过网络远程升级；</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17</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98寸交互智能平板电视</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p>
          <w:p>
            <w:pPr>
              <w:widowControl/>
              <w:numPr>
                <w:ilvl w:val="-1"/>
                <w:numId w:val="0"/>
              </w:numPr>
              <w:snapToGrid w:val="0"/>
              <w:spacing w:line="240" w:lineRule="auto"/>
              <w:ind w:left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一、结构设计</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1、</w:t>
            </w:r>
            <w:r>
              <w:rPr>
                <w:rFonts w:hint="eastAsia" w:ascii="宋体" w:hAnsi="宋体" w:eastAsia="宋体" w:cs="宋体"/>
                <w:color w:val="auto"/>
                <w:kern w:val="0"/>
                <w:sz w:val="20"/>
                <w:szCs w:val="20"/>
                <w:highlight w:val="none"/>
                <w:u w:val="none"/>
                <w:vertAlign w:val="baseline"/>
                <w:lang w:bidi="ar"/>
              </w:rPr>
              <w:t>整机屏幕采用98英寸UHD超高清LED 液晶屏，屏幕图像分辨率达3840*2160。显示比例16:9，具备防眩光效果。</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2、</w:t>
            </w:r>
            <w:r>
              <w:rPr>
                <w:rFonts w:hint="eastAsia" w:ascii="宋体" w:hAnsi="宋体" w:eastAsia="宋体" w:cs="宋体"/>
                <w:color w:val="auto"/>
                <w:kern w:val="0"/>
                <w:sz w:val="20"/>
                <w:szCs w:val="20"/>
                <w:highlight w:val="none"/>
                <w:u w:val="none"/>
                <w:vertAlign w:val="baseline"/>
                <w:lang w:bidi="ar"/>
              </w:rPr>
              <w:t>整机采用一体设计，外部无任何可见内部功能模块连接线。整机采用全金属外壳设计，边角采用弧形设计，表面无尖锐边缘或凸起。</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3、</w:t>
            </w:r>
            <w:r>
              <w:rPr>
                <w:rFonts w:hint="eastAsia" w:ascii="宋体" w:hAnsi="宋体" w:eastAsia="宋体" w:cs="宋体"/>
                <w:color w:val="auto"/>
                <w:kern w:val="0"/>
                <w:sz w:val="20"/>
                <w:szCs w:val="20"/>
                <w:highlight w:val="none"/>
                <w:u w:val="none"/>
                <w:vertAlign w:val="baseline"/>
                <w:lang w:bidi="ar"/>
              </w:rPr>
              <w:t>整机具备至少6个前置按键，实现老师开关机、调出中控菜单、音量+/-、护眼、录屏的操作。</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i w:val="0"/>
                <w:iCs w:val="0"/>
                <w:color w:val="auto"/>
                <w:kern w:val="0"/>
                <w:sz w:val="20"/>
                <w:szCs w:val="20"/>
                <w:highlight w:val="none"/>
                <w:u w:val="none"/>
                <w:lang w:val="en-US" w:eastAsia="zh-CN" w:bidi="ar"/>
              </w:rPr>
              <w:t>▲</w:t>
            </w:r>
            <w:r>
              <w:rPr>
                <w:rFonts w:hint="default" w:ascii="宋体" w:hAnsi="宋体" w:eastAsia="宋体" w:cs="宋体"/>
                <w:i w:val="0"/>
                <w:iCs w:val="0"/>
                <w:color w:val="auto"/>
                <w:kern w:val="0"/>
                <w:sz w:val="20"/>
                <w:szCs w:val="20"/>
                <w:highlight w:val="none"/>
                <w:u w:val="none"/>
                <w:lang w:eastAsia="zh-CN" w:bidi="ar"/>
              </w:rPr>
              <w:t>4、</w:t>
            </w:r>
            <w:r>
              <w:rPr>
                <w:rFonts w:hint="eastAsia" w:ascii="宋体" w:hAnsi="宋体" w:eastAsia="宋体" w:cs="宋体"/>
                <w:color w:val="auto"/>
                <w:kern w:val="0"/>
                <w:sz w:val="20"/>
                <w:szCs w:val="20"/>
                <w:highlight w:val="none"/>
                <w:u w:val="none"/>
                <w:vertAlign w:val="baseline"/>
                <w:lang w:bidi="ar"/>
              </w:rPr>
              <w:t>设备支持通过前置物理按键一键启动录屏功能，可将屏幕中显示的课件、音频内容与老师人声同时录制。</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w:t>
            </w:r>
            <w:r>
              <w:rPr>
                <w:rFonts w:hint="default" w:ascii="宋体" w:hAnsi="宋体" w:eastAsia="宋体" w:cs="宋体"/>
                <w:color w:val="auto"/>
                <w:kern w:val="0"/>
                <w:sz w:val="20"/>
                <w:szCs w:val="20"/>
                <w:highlight w:val="none"/>
                <w:u w:val="none"/>
                <w:vertAlign w:val="baseline"/>
                <w:lang w:bidi="ar"/>
              </w:rPr>
              <w:t>5、</w:t>
            </w:r>
            <w:r>
              <w:rPr>
                <w:rFonts w:hint="eastAsia" w:ascii="宋体" w:hAnsi="宋体" w:eastAsia="宋体" w:cs="宋体"/>
                <w:color w:val="auto"/>
                <w:kern w:val="0"/>
                <w:sz w:val="20"/>
                <w:szCs w:val="20"/>
                <w:highlight w:val="none"/>
                <w:u w:val="none"/>
                <w:vertAlign w:val="baseline"/>
                <w:lang w:bidi="ar"/>
              </w:rPr>
              <w:t>整机内置非独立摄像头，拍摄像素数≥4800万。整机内置摄像头（非外扩），PC通道下支持通过视频展台软件调用摄像头进行二维码扫码识别。（须提供具有CNAS认证的国家权威第三方检测机构出具的功能检测报告扫描件，要求内容能体现满足上述参数要求）</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6、</w:t>
            </w:r>
            <w:r>
              <w:rPr>
                <w:rFonts w:hint="eastAsia" w:ascii="宋体" w:hAnsi="宋体" w:eastAsia="宋体" w:cs="宋体"/>
                <w:color w:val="auto"/>
                <w:kern w:val="0"/>
                <w:sz w:val="20"/>
                <w:szCs w:val="20"/>
                <w:highlight w:val="none"/>
                <w:u w:val="none"/>
                <w:vertAlign w:val="baseline"/>
                <w:lang w:bidi="ar"/>
              </w:rPr>
              <w:t>整机内置非独立外扩展的4阵列麦克风，可用于对教室环境音频进行采集，拾音距离≥12m。</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w:t>
            </w:r>
            <w:r>
              <w:rPr>
                <w:rFonts w:hint="default" w:ascii="宋体" w:hAnsi="宋体" w:eastAsia="宋体" w:cs="宋体"/>
                <w:color w:val="auto"/>
                <w:kern w:val="0"/>
                <w:sz w:val="20"/>
                <w:szCs w:val="20"/>
                <w:highlight w:val="none"/>
                <w:u w:val="none"/>
                <w:vertAlign w:val="baseline"/>
                <w:lang w:bidi="ar"/>
              </w:rPr>
              <w:t>7、</w:t>
            </w:r>
            <w:r>
              <w:rPr>
                <w:rFonts w:hint="eastAsia" w:ascii="宋体" w:hAnsi="宋体" w:eastAsia="宋体" w:cs="宋体"/>
                <w:color w:val="auto"/>
                <w:kern w:val="0"/>
                <w:sz w:val="20"/>
                <w:szCs w:val="20"/>
                <w:highlight w:val="none"/>
                <w:u w:val="none"/>
                <w:vertAlign w:val="baseline"/>
                <w:lang w:bidi="ar"/>
              </w:rPr>
              <w:t>整机扬声器在100%音量下，可做到1米处声压级≥88db，10米处声压级≥73dB（须提供具有CNAS认证的国家权威第三方检测机构出具的功能检测报告扫描件，要求内容能体现满足上述参数要求）</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i w:val="0"/>
                <w:iCs w:val="0"/>
                <w:color w:val="auto"/>
                <w:kern w:val="0"/>
                <w:sz w:val="20"/>
                <w:szCs w:val="20"/>
                <w:highlight w:val="none"/>
                <w:u w:val="none"/>
                <w:lang w:val="en-US" w:eastAsia="zh-CN" w:bidi="ar"/>
              </w:rPr>
              <w:t>▲</w:t>
            </w:r>
            <w:r>
              <w:rPr>
                <w:rFonts w:hint="default" w:ascii="宋体" w:hAnsi="宋体" w:eastAsia="宋体" w:cs="宋体"/>
                <w:i w:val="0"/>
                <w:iCs w:val="0"/>
                <w:color w:val="auto"/>
                <w:kern w:val="0"/>
                <w:sz w:val="20"/>
                <w:szCs w:val="20"/>
                <w:highlight w:val="none"/>
                <w:u w:val="none"/>
                <w:lang w:eastAsia="zh-CN" w:bidi="ar"/>
              </w:rPr>
              <w:t>8、</w:t>
            </w:r>
            <w:r>
              <w:rPr>
                <w:rFonts w:hint="eastAsia" w:ascii="宋体" w:hAnsi="宋体" w:eastAsia="宋体" w:cs="宋体"/>
                <w:color w:val="auto"/>
                <w:kern w:val="0"/>
                <w:sz w:val="20"/>
                <w:szCs w:val="20"/>
                <w:highlight w:val="none"/>
                <w:u w:val="none"/>
                <w:vertAlign w:val="baseline"/>
                <w:lang w:bidi="ar"/>
              </w:rPr>
              <w:t>整机支持通过人脸识别进行解锁设备以及人脸识别进行登录账号。</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整机支持蓝牙Bluetooth 5.2标准，固件版本号HCI11.20/LMP11.20</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w:t>
            </w:r>
            <w:r>
              <w:rPr>
                <w:rFonts w:hint="default" w:ascii="宋体" w:hAnsi="宋体" w:eastAsia="宋体" w:cs="宋体"/>
                <w:color w:val="auto"/>
                <w:kern w:val="0"/>
                <w:sz w:val="20"/>
                <w:szCs w:val="20"/>
                <w:highlight w:val="none"/>
                <w:u w:val="none"/>
                <w:vertAlign w:val="baseline"/>
                <w:lang w:bidi="ar"/>
              </w:rPr>
              <w:t>9、</w:t>
            </w:r>
            <w:r>
              <w:rPr>
                <w:rFonts w:hint="eastAsia" w:ascii="宋体" w:hAnsi="宋体" w:eastAsia="宋体" w:cs="宋体"/>
                <w:color w:val="auto"/>
                <w:kern w:val="0"/>
                <w:sz w:val="20"/>
                <w:szCs w:val="20"/>
                <w:highlight w:val="none"/>
                <w:u w:val="none"/>
                <w:vertAlign w:val="baseline"/>
                <w:lang w:bidi="ar"/>
              </w:rPr>
              <w:t>Wi-Fi及AP热点支持频段2.4GHz/5GHz， Wi-Fi制式支持IEEE 802.11 a/b/g/n/ac/ax；支持版本Wi-Fi6。（须提供具有CNAS认证的国家权威第三方检测机构出具的功能检测报告扫描件，要求内容能体现满足上述参数要求）</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10、</w:t>
            </w:r>
            <w:r>
              <w:rPr>
                <w:rFonts w:hint="eastAsia" w:ascii="宋体" w:hAnsi="宋体" w:eastAsia="宋体" w:cs="宋体"/>
                <w:color w:val="auto"/>
                <w:kern w:val="0"/>
                <w:sz w:val="20"/>
                <w:szCs w:val="20"/>
                <w:highlight w:val="none"/>
                <w:u w:val="none"/>
                <w:vertAlign w:val="baseline"/>
                <w:lang w:bidi="ar"/>
              </w:rPr>
              <w:t>整机支持主动发现蓝牙外设从而连接（无需整机进入发现模式），支持连接外部蓝牙音箱播放音频。</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11、</w:t>
            </w:r>
            <w:r>
              <w:rPr>
                <w:rFonts w:hint="eastAsia" w:ascii="宋体" w:hAnsi="宋体" w:eastAsia="宋体" w:cs="宋体"/>
                <w:color w:val="auto"/>
                <w:kern w:val="0"/>
                <w:sz w:val="20"/>
                <w:szCs w:val="20"/>
                <w:highlight w:val="none"/>
                <w:u w:val="none"/>
                <w:vertAlign w:val="baseline"/>
                <w:lang w:bidi="ar"/>
              </w:rPr>
              <w:t>整机无需外接无线网卡，在Windows系统下接入无线网络，切换到嵌入式Android系统下可直接实现无线上网功能，不需手动重复设置。</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w:t>
            </w:r>
            <w:r>
              <w:rPr>
                <w:rFonts w:hint="default" w:ascii="宋体" w:hAnsi="宋体" w:eastAsia="宋体" w:cs="宋体"/>
                <w:color w:val="auto"/>
                <w:kern w:val="0"/>
                <w:sz w:val="20"/>
                <w:szCs w:val="20"/>
                <w:highlight w:val="none"/>
                <w:u w:val="none"/>
                <w:vertAlign w:val="baseline"/>
                <w:lang w:bidi="ar"/>
              </w:rPr>
              <w:t>12、</w:t>
            </w:r>
            <w:r>
              <w:rPr>
                <w:rFonts w:hint="eastAsia" w:ascii="宋体" w:hAnsi="宋体" w:eastAsia="宋体" w:cs="宋体"/>
                <w:color w:val="auto"/>
                <w:kern w:val="0"/>
                <w:sz w:val="20"/>
                <w:szCs w:val="20"/>
                <w:highlight w:val="none"/>
                <w:u w:val="none"/>
                <w:vertAlign w:val="baseline"/>
                <w:lang w:bidi="ar"/>
              </w:rPr>
              <w:t>外接电脑设备经双头Type-C线连接至整机，可调用整机内置的摄像头、麦克风、扬声器，在外接电脑即可控制整机拍摄教室画面。（须提供具有CNAS认证的国家权威第三方检测机构出具的功能检测报告扫描件，要求内容能体现满足上述参数要求）</w:t>
            </w:r>
          </w:p>
          <w:p>
            <w:pPr>
              <w:widowControl/>
              <w:numPr>
                <w:ilvl w:val="-1"/>
                <w:numId w:val="0"/>
              </w:numPr>
              <w:snapToGrid w:val="0"/>
              <w:spacing w:line="240" w:lineRule="auto"/>
              <w:ind w:leftChars="0"/>
              <w:jc w:val="both"/>
              <w:textAlignment w:val="center"/>
              <w:rPr>
                <w:rFonts w:hint="eastAsia" w:ascii="宋体" w:hAnsi="宋体" w:eastAsia="宋体" w:cs="宋体"/>
                <w:color w:val="auto"/>
                <w:kern w:val="0"/>
                <w:sz w:val="20"/>
                <w:szCs w:val="20"/>
                <w:highlight w:val="none"/>
                <w:u w:val="none"/>
                <w:vertAlign w:val="baseline"/>
                <w:lang w:bidi="ar"/>
              </w:rPr>
            </w:pPr>
          </w:p>
          <w:p>
            <w:pPr>
              <w:widowControl/>
              <w:numPr>
                <w:ilvl w:val="-1"/>
                <w:numId w:val="0"/>
              </w:numPr>
              <w:snapToGrid w:val="0"/>
              <w:spacing w:line="240" w:lineRule="auto"/>
              <w:ind w:left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二、触摸系统</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1、</w:t>
            </w:r>
            <w:r>
              <w:rPr>
                <w:rFonts w:hint="eastAsia" w:ascii="宋体" w:hAnsi="宋体" w:eastAsia="宋体" w:cs="宋体"/>
                <w:color w:val="auto"/>
                <w:kern w:val="0"/>
                <w:sz w:val="20"/>
                <w:szCs w:val="20"/>
                <w:highlight w:val="none"/>
                <w:u w:val="none"/>
                <w:vertAlign w:val="baseline"/>
                <w:lang w:bidi="ar"/>
              </w:rPr>
              <w:t>支持红外触控，支持Windows系统中进行20点或以上触控，安卓系统中进行 10 点或以上触控，支持红外笔书写。</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2、</w:t>
            </w:r>
            <w:r>
              <w:rPr>
                <w:rFonts w:hint="eastAsia" w:ascii="宋体" w:hAnsi="宋体" w:eastAsia="宋体" w:cs="宋体"/>
                <w:color w:val="auto"/>
                <w:kern w:val="0"/>
                <w:sz w:val="20"/>
                <w:szCs w:val="20"/>
                <w:highlight w:val="none"/>
                <w:u w:val="none"/>
                <w:vertAlign w:val="baseline"/>
                <w:lang w:bidi="ar"/>
              </w:rPr>
              <w:t>整机屏幕触摸有效识别高度不超过3.5mm,，即触摸物体距离玻璃外表面高度不超过3.5mm时，触摸屏识别为点击操作。</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3、</w:t>
            </w:r>
            <w:r>
              <w:rPr>
                <w:rFonts w:hint="eastAsia" w:ascii="宋体" w:hAnsi="宋体" w:eastAsia="宋体" w:cs="宋体"/>
                <w:color w:val="auto"/>
                <w:kern w:val="0"/>
                <w:sz w:val="20"/>
                <w:szCs w:val="20"/>
                <w:highlight w:val="none"/>
                <w:u w:val="none"/>
                <w:vertAlign w:val="baseline"/>
                <w:lang w:bidi="ar"/>
              </w:rPr>
              <w:t>触摸屏具有防遮挡功能，触摸接收器在单点或多点遮挡后仍能正常书写。</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4、</w:t>
            </w:r>
            <w:r>
              <w:rPr>
                <w:rFonts w:hint="eastAsia" w:ascii="宋体" w:hAnsi="宋体" w:eastAsia="宋体" w:cs="宋体"/>
                <w:color w:val="auto"/>
                <w:kern w:val="0"/>
                <w:sz w:val="20"/>
                <w:szCs w:val="20"/>
                <w:highlight w:val="none"/>
                <w:u w:val="none"/>
                <w:vertAlign w:val="baseline"/>
                <w:lang w:bidi="ar"/>
              </w:rPr>
              <w:t>Windows XP、Windows 7、Windows 8、Windows 8.1、 Windows 10、Linux、Mac Os系统外置电脑操作系统接入时，无需安装触摸框驱动。</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w:t>
            </w:r>
            <w:r>
              <w:rPr>
                <w:rFonts w:hint="default" w:ascii="宋体" w:hAnsi="宋体" w:eastAsia="宋体" w:cs="宋体"/>
                <w:color w:val="auto"/>
                <w:kern w:val="0"/>
                <w:sz w:val="20"/>
                <w:szCs w:val="20"/>
                <w:highlight w:val="none"/>
                <w:u w:val="none"/>
                <w:vertAlign w:val="baseline"/>
                <w:lang w:bidi="ar"/>
              </w:rPr>
              <w:t>5、</w:t>
            </w:r>
            <w:r>
              <w:rPr>
                <w:rFonts w:hint="eastAsia" w:ascii="宋体" w:hAnsi="宋体" w:eastAsia="宋体" w:cs="宋体"/>
                <w:color w:val="auto"/>
                <w:kern w:val="0"/>
                <w:sz w:val="20"/>
                <w:szCs w:val="20"/>
                <w:highlight w:val="none"/>
                <w:u w:val="none"/>
                <w:vertAlign w:val="baseline"/>
                <w:lang w:bidi="ar"/>
              </w:rPr>
              <w:t>支持同一支红外笔笔头、笔尾书写不同的颜色，且颜色可自定义。（须提供具有CNAS认证的国家权威第三方检测机构出具的功能检测报告扫描件，要求内容能体现满足上述参数要求）</w:t>
            </w:r>
          </w:p>
          <w:p>
            <w:pPr>
              <w:widowControl/>
              <w:numPr>
                <w:ilvl w:val="-1"/>
                <w:numId w:val="0"/>
              </w:numPr>
              <w:snapToGrid w:val="0"/>
              <w:spacing w:line="240" w:lineRule="auto"/>
              <w:ind w:leftChars="0"/>
              <w:jc w:val="both"/>
              <w:textAlignment w:val="center"/>
              <w:rPr>
                <w:rFonts w:hint="eastAsia" w:ascii="宋体" w:hAnsi="宋体" w:eastAsia="宋体" w:cs="宋体"/>
                <w:color w:val="auto"/>
                <w:kern w:val="0"/>
                <w:sz w:val="20"/>
                <w:szCs w:val="20"/>
                <w:highlight w:val="none"/>
                <w:u w:val="none"/>
                <w:vertAlign w:val="baseline"/>
                <w:lang w:bidi="ar"/>
              </w:rPr>
            </w:pPr>
          </w:p>
          <w:p>
            <w:pPr>
              <w:widowControl/>
              <w:numPr>
                <w:ilvl w:val="-1"/>
                <w:numId w:val="0"/>
              </w:numPr>
              <w:snapToGrid w:val="0"/>
              <w:spacing w:line="240" w:lineRule="auto"/>
              <w:ind w:left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三、嵌入式系统</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w:t>
            </w:r>
            <w:r>
              <w:rPr>
                <w:rFonts w:hint="default" w:ascii="宋体" w:hAnsi="宋体" w:eastAsia="宋体" w:cs="宋体"/>
                <w:color w:val="auto"/>
                <w:kern w:val="0"/>
                <w:sz w:val="20"/>
                <w:szCs w:val="20"/>
                <w:highlight w:val="none"/>
                <w:u w:val="none"/>
                <w:vertAlign w:val="baseline"/>
                <w:lang w:bidi="ar"/>
              </w:rPr>
              <w:t>1、</w:t>
            </w:r>
            <w:r>
              <w:rPr>
                <w:rFonts w:hint="eastAsia" w:ascii="宋体" w:hAnsi="宋体" w:eastAsia="宋体" w:cs="宋体"/>
                <w:color w:val="auto"/>
                <w:kern w:val="0"/>
                <w:sz w:val="20"/>
                <w:szCs w:val="20"/>
                <w:highlight w:val="none"/>
                <w:u w:val="none"/>
                <w:vertAlign w:val="baseline"/>
                <w:lang w:bidi="ar"/>
              </w:rPr>
              <w:t>嵌入式系统版本不低于Android 11，内存≥2GB，存储空间≥8GB。（须提供具有CNAS认证的国家权威第三方检测机构出具的功能检测报告扫描件，要求内容能体现满足上述参数要求）</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2、</w:t>
            </w:r>
            <w:r>
              <w:rPr>
                <w:rFonts w:hint="eastAsia" w:ascii="宋体" w:hAnsi="宋体" w:eastAsia="宋体" w:cs="宋体"/>
                <w:color w:val="auto"/>
                <w:kern w:val="0"/>
                <w:sz w:val="20"/>
                <w:szCs w:val="20"/>
                <w:highlight w:val="none"/>
                <w:u w:val="none"/>
                <w:vertAlign w:val="baseline"/>
                <w:lang w:bidi="ar"/>
              </w:rPr>
              <w:t>整机全通道侧边栏快捷菜单中应用软件可以进行实时切换并打开，无需在已经开启任意应用软件全屏模式下退出当前应用再选择更换。</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i w:val="0"/>
                <w:iCs w:val="0"/>
                <w:color w:val="auto"/>
                <w:kern w:val="0"/>
                <w:sz w:val="20"/>
                <w:szCs w:val="20"/>
                <w:highlight w:val="none"/>
                <w:u w:val="none"/>
                <w:lang w:val="en-US" w:eastAsia="zh-CN" w:bidi="ar"/>
              </w:rPr>
              <w:t>▲</w:t>
            </w:r>
            <w:r>
              <w:rPr>
                <w:rFonts w:hint="default" w:ascii="宋体" w:hAnsi="宋体" w:eastAsia="宋体" w:cs="宋体"/>
                <w:i w:val="0"/>
                <w:iCs w:val="0"/>
                <w:color w:val="auto"/>
                <w:kern w:val="0"/>
                <w:sz w:val="20"/>
                <w:szCs w:val="20"/>
                <w:highlight w:val="none"/>
                <w:u w:val="none"/>
                <w:lang w:eastAsia="zh-CN" w:bidi="ar"/>
              </w:rPr>
              <w:t>3、</w:t>
            </w:r>
            <w:r>
              <w:rPr>
                <w:rFonts w:hint="eastAsia" w:ascii="宋体" w:hAnsi="宋体" w:eastAsia="宋体" w:cs="宋体"/>
                <w:color w:val="auto"/>
                <w:kern w:val="0"/>
                <w:sz w:val="20"/>
                <w:szCs w:val="20"/>
                <w:highlight w:val="none"/>
                <w:u w:val="none"/>
                <w:vertAlign w:val="baseline"/>
                <w:lang w:bidi="ar"/>
              </w:rPr>
              <w:t>整机全通道侧边栏快捷菜单中可以随时调起切换智能息屏、经典护眼模式、纸质护眼模式、自动亮度模式，并可支持快捷调节音量、亮度。</w:t>
            </w:r>
          </w:p>
          <w:p>
            <w:pPr>
              <w:widowControl/>
              <w:numPr>
                <w:ilvl w:val="-1"/>
                <w:numId w:val="0"/>
              </w:numPr>
              <w:snapToGrid w:val="0"/>
              <w:spacing w:line="240" w:lineRule="auto"/>
              <w:ind w:leftChars="0"/>
              <w:jc w:val="both"/>
              <w:textAlignment w:val="center"/>
              <w:rPr>
                <w:rFonts w:hint="eastAsia" w:ascii="宋体" w:hAnsi="宋体" w:eastAsia="宋体" w:cs="宋体"/>
                <w:color w:val="auto"/>
                <w:kern w:val="0"/>
                <w:sz w:val="20"/>
                <w:szCs w:val="20"/>
                <w:highlight w:val="none"/>
                <w:u w:val="none"/>
                <w:vertAlign w:val="baseline"/>
                <w:lang w:bidi="ar"/>
              </w:rPr>
            </w:pPr>
          </w:p>
          <w:p>
            <w:pPr>
              <w:widowControl/>
              <w:numPr>
                <w:ilvl w:val="-1"/>
                <w:numId w:val="0"/>
              </w:numPr>
              <w:snapToGrid w:val="0"/>
              <w:spacing w:line="240" w:lineRule="auto"/>
              <w:ind w:left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color w:val="auto"/>
                <w:kern w:val="0"/>
                <w:sz w:val="20"/>
                <w:szCs w:val="20"/>
                <w:highlight w:val="none"/>
                <w:u w:val="none"/>
                <w:vertAlign w:val="baseline"/>
                <w:lang w:bidi="ar"/>
              </w:rPr>
              <w:t>四、内置电脑</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1、</w:t>
            </w:r>
            <w:r>
              <w:rPr>
                <w:rFonts w:hint="eastAsia" w:ascii="宋体" w:hAnsi="宋体" w:eastAsia="宋体" w:cs="宋体"/>
                <w:color w:val="auto"/>
                <w:kern w:val="0"/>
                <w:sz w:val="20"/>
                <w:szCs w:val="20"/>
                <w:highlight w:val="none"/>
                <w:u w:val="none"/>
                <w:vertAlign w:val="baseline"/>
                <w:lang w:bidi="ar"/>
              </w:rPr>
              <w:t>搭载不低于Intel 8代酷睿系列 i5CPU，8GB DDR4笔记本内存或以上配置，256GB或以上SSD固态硬盘。</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eastAsia" w:ascii="宋体" w:hAnsi="宋体" w:eastAsia="宋体" w:cs="宋体"/>
                <w:i w:val="0"/>
                <w:iCs w:val="0"/>
                <w:color w:val="auto"/>
                <w:kern w:val="0"/>
                <w:sz w:val="20"/>
                <w:szCs w:val="20"/>
                <w:highlight w:val="none"/>
                <w:u w:val="none"/>
                <w:lang w:val="en-US" w:eastAsia="zh-CN" w:bidi="ar"/>
              </w:rPr>
              <w:t>▲</w:t>
            </w:r>
            <w:r>
              <w:rPr>
                <w:rFonts w:hint="default" w:ascii="宋体" w:hAnsi="宋体" w:eastAsia="宋体" w:cs="宋体"/>
                <w:i w:val="0"/>
                <w:iCs w:val="0"/>
                <w:color w:val="auto"/>
                <w:kern w:val="0"/>
                <w:sz w:val="20"/>
                <w:szCs w:val="20"/>
                <w:highlight w:val="none"/>
                <w:u w:val="none"/>
                <w:lang w:eastAsia="zh-CN" w:bidi="ar"/>
              </w:rPr>
              <w:t>2、</w:t>
            </w:r>
            <w:r>
              <w:rPr>
                <w:rFonts w:hint="eastAsia" w:ascii="宋体" w:hAnsi="宋体" w:eastAsia="宋体" w:cs="宋体"/>
                <w:color w:val="auto"/>
                <w:kern w:val="0"/>
                <w:sz w:val="20"/>
                <w:szCs w:val="20"/>
                <w:highlight w:val="none"/>
                <w:u w:val="none"/>
                <w:vertAlign w:val="baseline"/>
                <w:lang w:bidi="ar"/>
              </w:rPr>
              <w:t>采用按压式卡扣，确保PC模块安装固定到位，同时无需工具就可快速拆卸电脑模块。电脑接口高度集成，降低接口损坏率，提高传输稳定性，采用≤40pin接口。（提供接口照片）</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3、</w:t>
            </w:r>
            <w:r>
              <w:rPr>
                <w:rFonts w:hint="eastAsia" w:ascii="宋体" w:hAnsi="宋体" w:eastAsia="宋体" w:cs="宋体"/>
                <w:color w:val="auto"/>
                <w:kern w:val="0"/>
                <w:sz w:val="20"/>
                <w:szCs w:val="20"/>
                <w:highlight w:val="none"/>
                <w:u w:val="none"/>
                <w:vertAlign w:val="baseline"/>
                <w:lang w:bidi="ar"/>
              </w:rPr>
              <w:t>机身采用热浸镀锌金属材质，采用智能风扇低噪音散热设计,模块主体尺寸不小于22cm*17cm*3cm以预留足够散热空间，确保封闭空间内有效散热。</w:t>
            </w:r>
          </w:p>
          <w:p>
            <w:pPr>
              <w:widowControl/>
              <w:numPr>
                <w:ilvl w:val="-1"/>
                <w:numId w:val="0"/>
              </w:numPr>
              <w:snapToGrid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u w:val="none"/>
                <w:vertAlign w:val="baseline"/>
                <w:lang w:bidi="ar"/>
              </w:rPr>
            </w:pPr>
            <w:r>
              <w:rPr>
                <w:rFonts w:hint="default" w:ascii="宋体" w:hAnsi="宋体" w:eastAsia="宋体" w:cs="宋体"/>
                <w:color w:val="auto"/>
                <w:kern w:val="0"/>
                <w:sz w:val="20"/>
                <w:szCs w:val="20"/>
                <w:highlight w:val="none"/>
                <w:u w:val="none"/>
                <w:vertAlign w:val="baseline"/>
                <w:lang w:bidi="ar"/>
              </w:rPr>
              <w:t>4、</w:t>
            </w:r>
            <w:r>
              <w:rPr>
                <w:rFonts w:hint="eastAsia" w:ascii="宋体" w:hAnsi="宋体" w:eastAsia="宋体" w:cs="宋体"/>
                <w:color w:val="auto"/>
                <w:kern w:val="0"/>
                <w:sz w:val="20"/>
                <w:szCs w:val="20"/>
                <w:highlight w:val="none"/>
                <w:u w:val="none"/>
                <w:vertAlign w:val="baseline"/>
                <w:lang w:bidi="ar"/>
              </w:rPr>
              <w:t>PC模块的USB接口须为冗余备份接口，在正常使用整机的内置摄像头、内置麦克风功能时，USB接口不被占用，确保教师有足够的接口外接存储设备及显示设备。</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r>
              <w:rPr>
                <w:rFonts w:hint="eastAsia" w:ascii="宋体" w:hAnsi="宋体" w:eastAsia="宋体" w:cs="宋体"/>
                <w:color w:val="auto"/>
                <w:kern w:val="0"/>
                <w:sz w:val="20"/>
                <w:szCs w:val="20"/>
                <w:highlight w:val="none"/>
                <w:u w:val="none"/>
                <w:vertAlign w:val="baseline"/>
                <w:lang w:bidi="ar"/>
              </w:rPr>
              <w:t>具有标准PC防盗锁孔。</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eastAsia" w:eastAsiaTheme="minorEastAsia"/>
                <w:color w:val="auto"/>
                <w:highlight w:val="none"/>
                <w:lang w:val="en-US" w:eastAsia="zh-CN"/>
              </w:rPr>
            </w:pPr>
            <w:r>
              <w:rPr>
                <w:color w:val="auto"/>
                <w:sz w:val="21"/>
                <w:highlight w:val="none"/>
              </w:rPr>
              <w:t>1</w:t>
            </w:r>
            <w:r>
              <w:rPr>
                <w:rFonts w:hint="eastAsia"/>
                <w:color w:val="auto"/>
                <w:sz w:val="21"/>
                <w:highlight w:val="none"/>
                <w:lang w:val="en-US" w:eastAsia="zh-CN"/>
              </w:rPr>
              <w:t>8</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全向麦克风</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1、拾音距离：6m 半径</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2、麦克风：8 阵列全向</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3、麦克风频率响应</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USB通道： 100 Hz 至 15 kHz</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蓝牙： 100Hz至7.5kHz</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4、扬声器：0.75寸高音+2寸低音高性能音乐扬声器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5、接口：USB Type C(音频 IN/OUT+充电 5V/2A)，</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6、按键：6 个（ 电源、 接听/挂断、 静音、 蓝牙、 音量+、 音量-）</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7、电池容量：3.7V/4400mAh，通话时间 30 小时，音乐时间 8小时，充电时间5 小时</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8、充电方式：有线 5V/2A</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9、连接方式：蓝牙、USB、USB dongle（选配）</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10、支持通过蓝牙进行2个麦无线级联</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Hans" w:bidi="ar"/>
              </w:rPr>
              <w:t>需提供产品规格书盖章文件</w:t>
            </w:r>
            <w:r>
              <w:rPr>
                <w:rFonts w:hint="default" w:ascii="宋体" w:hAnsi="宋体" w:eastAsia="宋体" w:cs="宋体"/>
                <w:i w:val="0"/>
                <w:iCs w:val="0"/>
                <w:color w:val="auto"/>
                <w:kern w:val="0"/>
                <w:sz w:val="20"/>
                <w:szCs w:val="20"/>
                <w:highlight w:val="none"/>
                <w:u w:val="none"/>
                <w:lang w:eastAsia="zh-Hans" w:bidi="ar"/>
              </w:rPr>
              <w:t>）</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eastAsia" w:eastAsiaTheme="minorEastAsia"/>
                <w:color w:val="auto"/>
                <w:highlight w:val="none"/>
                <w:lang w:val="en-US" w:eastAsia="zh-CN"/>
              </w:rPr>
            </w:pPr>
            <w:r>
              <w:rPr>
                <w:color w:val="auto"/>
                <w:sz w:val="21"/>
                <w:highlight w:val="none"/>
              </w:rPr>
              <w:t>1</w:t>
            </w:r>
            <w:r>
              <w:rPr>
                <w:rFonts w:hint="eastAsia"/>
                <w:color w:val="auto"/>
                <w:sz w:val="21"/>
                <w:highlight w:val="none"/>
                <w:lang w:val="en-US" w:eastAsia="zh-CN"/>
              </w:rPr>
              <w:t>9</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无线WIFI</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主要性能</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产品类型无线接入器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最高传输速率600Mbps</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频率范围双频（2.4GHz，5GHz）</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网络接口10/100/1000M自适应以太网接口（RJ45×1）</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管理console口</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天线</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是否可拆卸：否</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其它参数</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供电方式DC供电：12V±10%</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电源功率10.2W</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产品尺寸180×180×39.5mm</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产品重量0.4kg</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环境标准工作温度：0℃-40℃</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存储温度：-40℃-70℃纠错</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其它特点支持FIT/FAT工作模式</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支持云管理</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color w:val="auto"/>
                <w:sz w:val="21"/>
                <w:highlight w:val="none"/>
                <w:lang w:val="en-US" w:eastAsia="zh-CN"/>
              </w:rPr>
              <w:t>20</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千兆路由器</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路由器类型：企业级路由器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传输速率10/100/1000Mbps</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产品内存256MB</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电源电压AC 100-240V，50/60Hz</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电源功率最大功耗：24W</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11" w:hRule="atLeast"/>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21</w:t>
            </w:r>
          </w:p>
        </w:tc>
        <w:tc>
          <w:tcPr>
            <w:tcW w:w="416" w:type="pc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台式图形工作站</w:t>
            </w:r>
          </w:p>
          <w:p>
            <w:pPr>
              <w:keepNext w:val="0"/>
              <w:keepLines w:val="0"/>
              <w:widowControl/>
              <w:suppressLineNumbers w:val="0"/>
              <w:jc w:val="center"/>
              <w:textAlignment w:val="center"/>
              <w:rPr>
                <w:color w:val="000000" w:themeColor="text1"/>
                <w:highlight w:val="none"/>
                <w14:textFill>
                  <w14:solidFill>
                    <w14:schemeClr w14:val="tx1"/>
                  </w14:solidFill>
                </w14:textFill>
              </w:rPr>
            </w:pPr>
          </w:p>
        </w:tc>
        <w:tc>
          <w:tcPr>
            <w:tcW w:w="3439" w:type="pct"/>
            <w:tcBorders>
              <w:top w:val="nil"/>
              <w:left w:val="nil"/>
              <w:bottom w:val="single" w:color="000000" w:sz="4" w:space="0"/>
              <w:right w:val="single" w:color="000000" w:sz="4" w:space="0"/>
            </w:tcBorders>
            <w:vAlign w:val="center"/>
          </w:tcPr>
          <w:p>
            <w:pPr>
              <w:ind w:right="368" w:rightChars="175"/>
              <w:jc w:val="both"/>
              <w:rPr>
                <w:rFonts w:hint="eastAsia"/>
                <w:color w:val="000000" w:themeColor="text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1、★处理器类型：相当于或优于Intel Core i9-12900核十六核心，二十四线程 2.4GHz-5.1GHzCPU；</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2、★主板：Intel W680芯片组。</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3、内存类型：≥32G DDR5 4800 MHz，可拓展至128G；</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4、硬盘：≥512G SSD+4T SATA；</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5、显卡：相当于或优于NVIDIA RTX A4000 16G独显；</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6、机箱类型：立式机箱，为保证散热，要求体积不小于15L，免工具开启维护；</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7、外置 I/O端口：不少于10个外置USB 端口（4个前置接口）；</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8、插槽：1个PCle4.0x16；1个PCle4.0x4；2个PCle3.0x1</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9、电源：500W或以上，节能设计；</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10、键盘/鼠标：原厂同品牌标准USB简体中文键盘和抗菌鼠标；</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11、保修服务 :5年原厂上门服务，原厂质保服务官方可查，安全保护配备机箱锁扣，配备网络同传。需要支持对传输数据进行加密功能，提高传输数据的安全性。BIOS具备自动保护功能，BIOS被攻击会自动保护， 不影响正常工作。通过BIOS控制USB enable或者disable，并能识别键盘/鼠标/打印机等非存储设备。</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000000" w:themeColor="text1"/>
                <w:highlight w:val="none"/>
                <w14:textFill>
                  <w14:solidFill>
                    <w14:schemeClr w14:val="tx1"/>
                  </w14:solidFill>
                </w14:textFill>
              </w:rPr>
            </w:pPr>
            <w:r>
              <w:rPr>
                <w:color w:val="000000" w:themeColor="text1"/>
                <w14:textFill>
                  <w14:solidFill>
                    <w14:schemeClr w14:val="tx1"/>
                  </w14:solidFill>
                </w14:textFill>
              </w:rPr>
              <w:br w:type="page"/>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74" w:hRule="atLeast"/>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22</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显示器</w:t>
            </w:r>
          </w:p>
        </w:tc>
        <w:tc>
          <w:tcPr>
            <w:tcW w:w="3439" w:type="pct"/>
            <w:tcBorders>
              <w:top w:val="nil"/>
              <w:left w:val="nil"/>
              <w:bottom w:val="single" w:color="000000" w:sz="4" w:space="0"/>
              <w:right w:val="single" w:color="000000" w:sz="4" w:space="0"/>
            </w:tcBorders>
            <w:vAlign w:val="center"/>
          </w:tcPr>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1.★屏幕尺寸：≥34英寸</w:t>
            </w:r>
          </w:p>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2.★分辨率：3440*1440</w:t>
            </w:r>
          </w:p>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3.屏幕刷新率：100Hz</w:t>
            </w:r>
          </w:p>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4.面板：VA</w:t>
            </w:r>
          </w:p>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5.★类型：曲面屏</w:t>
            </w:r>
          </w:p>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6.亮度：300cd/㎡</w:t>
            </w:r>
          </w:p>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7.★支架底座：旋转升降</w:t>
            </w:r>
          </w:p>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8.电源类型：外接电源适配器</w:t>
            </w:r>
          </w:p>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9.接口：支持HDMI接口，支持Type-C接口，支持DP接口</w:t>
            </w:r>
          </w:p>
          <w:p>
            <w:pPr>
              <w:tabs>
                <w:tab w:val="left" w:pos="1347"/>
              </w:tabs>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10、★保修：5年原厂免费上门服务。</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40</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color w:val="auto"/>
                <w:sz w:val="21"/>
                <w:highlight w:val="none"/>
              </w:rPr>
            </w:pPr>
          </w:p>
          <w:p>
            <w:pPr>
              <w:jc w:val="center"/>
              <w:rPr>
                <w:color w:val="auto"/>
                <w:sz w:val="21"/>
                <w:highlight w:val="none"/>
              </w:rPr>
            </w:pPr>
          </w:p>
          <w:p>
            <w:pPr>
              <w:jc w:val="center"/>
              <w:rPr>
                <w:rFonts w:hint="default" w:eastAsiaTheme="minorEastAsia"/>
                <w:color w:val="auto"/>
                <w:highlight w:val="none"/>
                <w:lang w:val="en-US" w:eastAsia="zh-CN"/>
              </w:rPr>
            </w:pPr>
            <w:r>
              <w:rPr>
                <w:rFonts w:hint="eastAsia"/>
                <w:color w:val="auto"/>
                <w:sz w:val="21"/>
                <w:highlight w:val="none"/>
                <w:lang w:val="en-US" w:eastAsia="zh-CN"/>
              </w:rPr>
              <w:t>23</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55寸安卓壁挂广告机</w:t>
            </w:r>
          </w:p>
        </w:tc>
        <w:tc>
          <w:tcPr>
            <w:tcW w:w="3439" w:type="pct"/>
            <w:tcBorders>
              <w:top w:val="nil"/>
              <w:left w:val="nil"/>
              <w:bottom w:val="single" w:color="000000" w:sz="4" w:space="0"/>
              <w:right w:val="single" w:color="000000" w:sz="4" w:space="0"/>
            </w:tcBorders>
            <w:vAlign w:val="center"/>
          </w:tcPr>
          <w:p>
            <w:pPr>
              <w:keepNext w:val="0"/>
              <w:keepLines w:val="0"/>
              <w:widowControl/>
              <w:suppressLineNumbers w:val="0"/>
              <w:jc w:val="both"/>
            </w:pPr>
            <w:r>
              <w:rPr>
                <w:rFonts w:hint="default"/>
                <w:b w:val="0"/>
                <w:bCs w:val="0"/>
              </w:rPr>
              <w:t>1</w:t>
            </w:r>
            <w:r>
              <w:rPr>
                <w:rFonts w:hint="eastAsia"/>
                <w:b w:val="0"/>
                <w:bCs w:val="0"/>
                <w:lang w:val="en-US" w:eastAsia="zh-Hans"/>
              </w:rPr>
              <w:t>.</w:t>
            </w:r>
            <w:r>
              <w:rPr>
                <w:b w:val="0"/>
                <w:bCs w:val="0"/>
              </w:rPr>
              <w:t>55寸超高屏占比液晶显示器，屏幕及整机亮度≥500cd/m2，对比度≥1200：1，色域达到72%NTSC,显示比例16:9，，色彩度≥10bit ,</w:t>
            </w:r>
          </w:p>
          <w:p>
            <w:pPr>
              <w:keepNext w:val="0"/>
              <w:keepLines w:val="0"/>
              <w:widowControl/>
              <w:suppressLineNumbers w:val="0"/>
              <w:jc w:val="both"/>
            </w:pPr>
            <w:r>
              <w:rPr>
                <w:rFonts w:hint="default"/>
                <w:b w:val="0"/>
                <w:bCs w:val="0"/>
              </w:rPr>
              <w:t>2</w:t>
            </w:r>
            <w:r>
              <w:rPr>
                <w:rFonts w:hint="eastAsia"/>
                <w:b w:val="0"/>
                <w:bCs w:val="0"/>
                <w:lang w:val="en-US" w:eastAsia="zh-Hans"/>
              </w:rPr>
              <w:t>.</w:t>
            </w:r>
            <w:r>
              <w:rPr>
                <w:b w:val="0"/>
                <w:bCs w:val="0"/>
              </w:rPr>
              <w:t>整机具备丰富接口满足不同场景使用需求，OPS接口×1，HDMI IN×3，HDMI OUT×1，Type-c×1,RJ45 IN×1,RJ45 OUT×1,WIFI×1,USB 2.0×1，USB 3.0×1，RS232×1</w:t>
            </w:r>
          </w:p>
          <w:p>
            <w:pPr>
              <w:keepNext w:val="0"/>
              <w:keepLines w:val="0"/>
              <w:widowControl/>
              <w:suppressLineNumbers w:val="0"/>
              <w:jc w:val="both"/>
            </w:pPr>
            <w:r>
              <w:rPr>
                <w:rFonts w:hint="default"/>
                <w:b w:val="0"/>
                <w:bCs w:val="0"/>
              </w:rPr>
              <w:t>3</w:t>
            </w:r>
            <w:r>
              <w:rPr>
                <w:rFonts w:hint="eastAsia"/>
                <w:b w:val="0"/>
                <w:bCs w:val="0"/>
                <w:lang w:val="en-US" w:eastAsia="zh-Hans"/>
              </w:rPr>
              <w:t>.</w:t>
            </w:r>
            <w:r>
              <w:rPr>
                <w:b w:val="0"/>
                <w:bCs w:val="0"/>
              </w:rPr>
              <w:t>支持定时开关机，通过设定定时开机定时关机满足不同场景下开关机需求</w:t>
            </w:r>
          </w:p>
          <w:p>
            <w:pPr>
              <w:keepNext w:val="0"/>
              <w:keepLines w:val="0"/>
              <w:widowControl/>
              <w:suppressLineNumbers w:val="0"/>
              <w:jc w:val="both"/>
            </w:pPr>
            <w:r>
              <w:rPr>
                <w:rFonts w:hint="default"/>
                <w:b w:val="0"/>
                <w:bCs w:val="0"/>
              </w:rPr>
              <w:t>4</w:t>
            </w:r>
            <w:r>
              <w:rPr>
                <w:rFonts w:hint="eastAsia"/>
                <w:b w:val="0"/>
                <w:bCs w:val="0"/>
                <w:lang w:val="en-US" w:eastAsia="zh-Hans"/>
              </w:rPr>
              <w:t>.</w:t>
            </w:r>
            <w:r>
              <w:rPr>
                <w:b w:val="0"/>
                <w:bCs w:val="0"/>
              </w:rPr>
              <w:t>为保证显示效果，屏幕采用高雾度防眩光面板，面板雾度≥25%，,可视角度≥178°，高光下图片效果更逼，从各个视角观看都不反光，有效降低眩光、倒影对于人眼干扰，提升观看舒适度。</w:t>
            </w:r>
          </w:p>
          <w:p>
            <w:pPr>
              <w:keepNext w:val="0"/>
              <w:keepLines w:val="0"/>
              <w:widowControl/>
              <w:suppressLineNumbers w:val="0"/>
              <w:jc w:val="both"/>
            </w:pPr>
            <w:r>
              <w:rPr>
                <w:b w:val="0"/>
                <w:bCs w:val="0"/>
              </w:rPr>
              <w:t>▲</w:t>
            </w:r>
            <w:r>
              <w:rPr>
                <w:rFonts w:hint="default"/>
                <w:b w:val="0"/>
                <w:bCs w:val="0"/>
              </w:rPr>
              <w:t>5</w:t>
            </w:r>
            <w:r>
              <w:rPr>
                <w:rFonts w:hint="eastAsia"/>
                <w:b w:val="0"/>
                <w:bCs w:val="0"/>
                <w:lang w:val="en-US" w:eastAsia="zh-Hans"/>
              </w:rPr>
              <w:t>.</w:t>
            </w:r>
            <w:r>
              <w:rPr>
                <w:b w:val="0"/>
                <w:bCs w:val="0"/>
              </w:rPr>
              <w:t>支持信息发布，内置与整机为同一品牌信发系统软件，支持图片、视频、文字等内容任意方式组合播放</w:t>
            </w:r>
          </w:p>
          <w:p>
            <w:pPr>
              <w:keepNext w:val="0"/>
              <w:keepLines w:val="0"/>
              <w:widowControl/>
              <w:suppressLineNumbers w:val="0"/>
              <w:jc w:val="both"/>
            </w:pPr>
            <w:r>
              <w:rPr>
                <w:b w:val="0"/>
                <w:bCs w:val="0"/>
              </w:rPr>
              <w:t>▲</w:t>
            </w:r>
            <w:r>
              <w:rPr>
                <w:rFonts w:hint="default"/>
                <w:b w:val="0"/>
                <w:bCs w:val="0"/>
              </w:rPr>
              <w:t>6</w:t>
            </w:r>
            <w:r>
              <w:rPr>
                <w:rFonts w:hint="eastAsia"/>
                <w:b w:val="0"/>
                <w:bCs w:val="0"/>
                <w:lang w:val="en-US" w:eastAsia="zh-Hans"/>
              </w:rPr>
              <w:t>.</w:t>
            </w:r>
            <w:r>
              <w:rPr>
                <w:b w:val="0"/>
                <w:bCs w:val="0"/>
              </w:rPr>
              <w:t>为保证系统运行效果，整机需采用不低于Android 11.0系统，内置CPU性能≥四核A55主频高达1.9Hz，内置GPU性能≥双核Mali G52，RAM≥4G，ROM≥32G，</w:t>
            </w:r>
          </w:p>
          <w:p>
            <w:pPr>
              <w:keepNext w:val="0"/>
              <w:keepLines w:val="0"/>
              <w:widowControl/>
              <w:suppressLineNumbers w:val="0"/>
              <w:jc w:val="both"/>
            </w:pPr>
            <w:r>
              <w:rPr>
                <w:rFonts w:hint="default"/>
                <w:b w:val="0"/>
                <w:bCs w:val="0"/>
              </w:rPr>
              <w:t>7</w:t>
            </w:r>
            <w:r>
              <w:rPr>
                <w:rFonts w:hint="eastAsia"/>
                <w:b w:val="0"/>
                <w:bCs w:val="0"/>
                <w:lang w:val="en-US" w:eastAsia="zh-Hans"/>
              </w:rPr>
              <w:t>.</w:t>
            </w:r>
            <w:r>
              <w:rPr>
                <w:b w:val="0"/>
                <w:bCs w:val="0"/>
              </w:rPr>
              <w:t>内置可插拔无线蓝牙模块需支持802.11 a/b/g/n/ac，工作频率2.4GHz/5GHz；支持无线投屏功能</w:t>
            </w:r>
          </w:p>
          <w:p>
            <w:pPr>
              <w:keepNext w:val="0"/>
              <w:keepLines w:val="0"/>
              <w:widowControl/>
              <w:suppressLineNumbers w:val="0"/>
              <w:jc w:val="both"/>
              <w:rPr>
                <w:b w:val="0"/>
                <w:bCs w:val="0"/>
              </w:rPr>
            </w:pPr>
            <w:r>
              <w:rPr>
                <w:b w:val="0"/>
                <w:bCs w:val="0"/>
              </w:rPr>
              <w:t>▲</w:t>
            </w:r>
            <w:r>
              <w:rPr>
                <w:rFonts w:hint="default"/>
                <w:b w:val="0"/>
                <w:bCs w:val="0"/>
              </w:rPr>
              <w:t>8</w:t>
            </w:r>
            <w:r>
              <w:rPr>
                <w:rFonts w:hint="eastAsia"/>
                <w:b w:val="0"/>
                <w:bCs w:val="0"/>
                <w:lang w:val="en-US" w:eastAsia="zh-Hans"/>
              </w:rPr>
              <w:t>.</w:t>
            </w:r>
            <w:r>
              <w:rPr>
                <w:b w:val="0"/>
                <w:bCs w:val="0"/>
              </w:rPr>
              <w:t>支持USB识别开关， 启动USB驱动器关闭时，即使U盘插入设备不会检查读取到U盘信息，保证信息安全</w:t>
            </w:r>
          </w:p>
          <w:p>
            <w:pPr>
              <w:keepNext w:val="0"/>
              <w:keepLines w:val="0"/>
              <w:widowControl/>
              <w:suppressLineNumbers w:val="0"/>
              <w:jc w:val="both"/>
              <w:rPr>
                <w:rFonts w:hint="eastAsia" w:eastAsiaTheme="minorEastAsia"/>
                <w:b w:val="0"/>
                <w:bCs w:val="0"/>
                <w:lang w:val="en-US" w:eastAsia="zh-Hans"/>
              </w:rPr>
            </w:pPr>
            <w:r>
              <w:rPr>
                <w:rFonts w:hint="default"/>
                <w:b w:val="0"/>
                <w:bCs w:val="0"/>
              </w:rPr>
              <w:t>9</w:t>
            </w:r>
            <w:r>
              <w:rPr>
                <w:rFonts w:hint="eastAsia"/>
                <w:b w:val="0"/>
                <w:bCs w:val="0"/>
                <w:lang w:val="en-US" w:eastAsia="zh-Hans"/>
              </w:rPr>
              <w:t>.</w:t>
            </w:r>
            <w:r>
              <w:rPr>
                <w:b w:val="0"/>
                <w:bCs w:val="0"/>
              </w:rPr>
              <w:t>采用双声道，内置2*10W扬声器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color w:val="auto"/>
                <w:highlight w:val="none"/>
              </w:rPr>
            </w:pP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color w:val="auto"/>
                <w:sz w:val="21"/>
                <w:highlight w:val="none"/>
                <w:lang w:val="en-US" w:eastAsia="zh-CN"/>
              </w:rPr>
              <w:t>24</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吊顶式天花空调机</w:t>
            </w:r>
          </w:p>
        </w:tc>
        <w:tc>
          <w:tcPr>
            <w:tcW w:w="3439" w:type="pct"/>
            <w:tcBorders>
              <w:top w:val="nil"/>
              <w:left w:val="nil"/>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吊顶式天花空调，冷暖3P；</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jc w:val="both"/>
              <w:textAlignment w:val="center"/>
              <w:rPr>
                <w:color w:val="auto"/>
                <w:highlight w:val="none"/>
              </w:rPr>
            </w:pPr>
            <w:r>
              <w:rPr>
                <w:rFonts w:ascii="微软雅黑" w:hAnsi="微软雅黑" w:eastAsia="微软雅黑" w:cs="微软雅黑"/>
                <w:i w:val="0"/>
                <w:iCs w:val="0"/>
                <w:caps w:val="0"/>
                <w:color w:val="333333"/>
                <w:spacing w:val="0"/>
                <w:sz w:val="21"/>
                <w:szCs w:val="21"/>
                <w:shd w:val="clear" w:fill="FFFFFF"/>
              </w:rPr>
              <w:t>能效等级</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ascii="微软雅黑" w:hAnsi="微软雅黑" w:eastAsia="微软雅黑" w:cs="微软雅黑"/>
                <w:i w:val="0"/>
                <w:iCs w:val="0"/>
                <w:caps w:val="0"/>
                <w:color w:val="999999"/>
                <w:spacing w:val="0"/>
                <w:sz w:val="21"/>
                <w:szCs w:val="21"/>
                <w:u w:val="none"/>
                <w:shd w:val="clear" w:fill="FFFFFF"/>
              </w:rPr>
              <w:fldChar w:fldCharType="begin"/>
            </w:r>
            <w:r>
              <w:rPr>
                <w:rFonts w:ascii="微软雅黑" w:hAnsi="微软雅黑" w:eastAsia="微软雅黑" w:cs="微软雅黑"/>
                <w:i w:val="0"/>
                <w:iCs w:val="0"/>
                <w:caps w:val="0"/>
                <w:color w:val="999999"/>
                <w:spacing w:val="0"/>
                <w:sz w:val="21"/>
                <w:szCs w:val="21"/>
                <w:u w:val="none"/>
                <w:shd w:val="clear" w:fill="FFFFFF"/>
              </w:rPr>
              <w:instrText xml:space="preserve"> HYPERLINK "https://detail.zol.com.cn/air-condition/s5145/" </w:instrText>
            </w:r>
            <w:r>
              <w:rPr>
                <w:rFonts w:ascii="微软雅黑" w:hAnsi="微软雅黑" w:eastAsia="微软雅黑" w:cs="微软雅黑"/>
                <w:i w:val="0"/>
                <w:iCs w:val="0"/>
                <w:caps w:val="0"/>
                <w:color w:val="999999"/>
                <w:spacing w:val="0"/>
                <w:sz w:val="21"/>
                <w:szCs w:val="21"/>
                <w:u w:val="none"/>
                <w:shd w:val="clear" w:fill="FFFFFF"/>
              </w:rPr>
              <w:fldChar w:fldCharType="separate"/>
            </w:r>
            <w:r>
              <w:rPr>
                <w:rStyle w:val="12"/>
                <w:rFonts w:hint="eastAsia" w:ascii="微软雅黑" w:hAnsi="微软雅黑" w:eastAsia="微软雅黑" w:cs="微软雅黑"/>
                <w:i w:val="0"/>
                <w:iCs w:val="0"/>
                <w:caps w:val="0"/>
                <w:color w:val="999999"/>
                <w:spacing w:val="0"/>
                <w:sz w:val="21"/>
                <w:szCs w:val="21"/>
                <w:u w:val="none"/>
                <w:shd w:val="clear" w:fill="FFFFFF"/>
              </w:rPr>
              <w:t>三级能效</w:t>
            </w:r>
            <w:r>
              <w:rPr>
                <w:rFonts w:hint="eastAsia" w:ascii="微软雅黑" w:hAnsi="微软雅黑" w:eastAsia="微软雅黑" w:cs="微软雅黑"/>
                <w:i w:val="0"/>
                <w:iCs w:val="0"/>
                <w:caps w:val="0"/>
                <w:color w:val="999999"/>
                <w:spacing w:val="0"/>
                <w:sz w:val="21"/>
                <w:szCs w:val="21"/>
                <w:u w:val="none"/>
                <w:shd w:val="clear" w:fill="FFFFFF"/>
              </w:rPr>
              <w:fldChar w:fldCharType="end"/>
            </w:r>
          </w:p>
          <w:p>
            <w:pPr>
              <w:keepNext w:val="0"/>
              <w:keepLines w:val="0"/>
              <w:pageBreakBefore w:val="0"/>
              <w:widowControl/>
              <w:numPr>
                <w:ilvl w:val="0"/>
                <w:numId w:val="1"/>
              </w:numPr>
              <w:suppressLineNumbers w:val="0"/>
              <w:kinsoku/>
              <w:wordWrap/>
              <w:overflowPunct/>
              <w:topLinePunct w:val="0"/>
              <w:autoSpaceDE/>
              <w:autoSpaceDN/>
              <w:bidi w:val="0"/>
              <w:adjustRightInd/>
              <w:snapToGrid w:val="0"/>
              <w:jc w:val="both"/>
              <w:textAlignment w:val="center"/>
              <w:rPr>
                <w:color w:val="auto"/>
                <w:highlight w:val="none"/>
              </w:rPr>
            </w:pPr>
            <w:r>
              <w:rPr>
                <w:rFonts w:ascii="微软雅黑" w:hAnsi="微软雅黑" w:eastAsia="微软雅黑" w:cs="微软雅黑"/>
                <w:i w:val="0"/>
                <w:iCs w:val="0"/>
                <w:caps w:val="0"/>
                <w:color w:val="333333"/>
                <w:spacing w:val="0"/>
                <w:sz w:val="21"/>
                <w:szCs w:val="21"/>
                <w:shd w:val="clear" w:fill="FFFFFF"/>
              </w:rPr>
              <w:t>制冷量</w:t>
            </w:r>
            <w:r>
              <w:rPr>
                <w:rFonts w:ascii="微软雅黑" w:hAnsi="微软雅黑" w:eastAsia="微软雅黑" w:cs="微软雅黑"/>
                <w:i w:val="0"/>
                <w:iCs w:val="0"/>
                <w:caps w:val="0"/>
                <w:color w:val="999999"/>
                <w:spacing w:val="0"/>
                <w:sz w:val="21"/>
                <w:szCs w:val="21"/>
                <w:shd w:val="clear" w:fill="FFFFFF"/>
              </w:rPr>
              <w:t>7200W</w:t>
            </w:r>
            <w:r>
              <w:rPr>
                <w:rFonts w:hint="eastAsia" w:ascii="微软雅黑" w:hAnsi="微软雅黑" w:eastAsia="微软雅黑" w:cs="微软雅黑"/>
                <w:i w:val="0"/>
                <w:iCs w:val="0"/>
                <w:caps w:val="0"/>
                <w:color w:val="999999"/>
                <w:spacing w:val="0"/>
                <w:sz w:val="21"/>
                <w:szCs w:val="21"/>
                <w:shd w:val="clear" w:fill="FFFFFF"/>
                <w:lang w:eastAsia="zh-CN"/>
              </w:rPr>
              <w:t>，</w:t>
            </w:r>
            <w:r>
              <w:rPr>
                <w:rFonts w:ascii="微软雅黑" w:hAnsi="微软雅黑" w:eastAsia="微软雅黑" w:cs="微软雅黑"/>
                <w:i w:val="0"/>
                <w:iCs w:val="0"/>
                <w:caps w:val="0"/>
                <w:color w:val="333333"/>
                <w:spacing w:val="0"/>
                <w:sz w:val="21"/>
                <w:szCs w:val="21"/>
                <w:shd w:val="clear" w:fill="FFFFFF"/>
              </w:rPr>
              <w:t>制冷功率</w:t>
            </w:r>
            <w:r>
              <w:rPr>
                <w:rFonts w:ascii="微软雅黑" w:hAnsi="微软雅黑" w:eastAsia="微软雅黑" w:cs="微软雅黑"/>
                <w:i w:val="0"/>
                <w:iCs w:val="0"/>
                <w:caps w:val="0"/>
                <w:color w:val="999999"/>
                <w:spacing w:val="0"/>
                <w:sz w:val="21"/>
                <w:szCs w:val="21"/>
                <w:shd w:val="clear" w:fill="FFFFFF"/>
              </w:rPr>
              <w:t>2200W</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jc w:val="both"/>
              <w:textAlignment w:val="center"/>
              <w:rPr>
                <w:color w:val="auto"/>
                <w:highlight w:val="none"/>
              </w:rPr>
            </w:pPr>
            <w:r>
              <w:rPr>
                <w:rFonts w:ascii="微软雅黑" w:hAnsi="微软雅黑" w:eastAsia="微软雅黑" w:cs="微软雅黑"/>
                <w:i w:val="0"/>
                <w:iCs w:val="0"/>
                <w:caps w:val="0"/>
                <w:color w:val="333333"/>
                <w:spacing w:val="0"/>
                <w:sz w:val="21"/>
                <w:szCs w:val="21"/>
                <w:shd w:val="clear" w:fill="FFFFFF"/>
              </w:rPr>
              <w:t>制热量</w:t>
            </w:r>
            <w:r>
              <w:rPr>
                <w:rFonts w:ascii="微软雅黑" w:hAnsi="微软雅黑" w:eastAsia="微软雅黑" w:cs="微软雅黑"/>
                <w:i w:val="0"/>
                <w:iCs w:val="0"/>
                <w:caps w:val="0"/>
                <w:color w:val="999999"/>
                <w:spacing w:val="0"/>
                <w:sz w:val="21"/>
                <w:szCs w:val="21"/>
                <w:shd w:val="clear" w:fill="FFFFFF"/>
              </w:rPr>
              <w:t>7700W</w:t>
            </w:r>
            <w:r>
              <w:rPr>
                <w:rFonts w:hint="eastAsia" w:ascii="微软雅黑" w:hAnsi="微软雅黑" w:eastAsia="微软雅黑" w:cs="微软雅黑"/>
                <w:i w:val="0"/>
                <w:iCs w:val="0"/>
                <w:caps w:val="0"/>
                <w:color w:val="999999"/>
                <w:spacing w:val="0"/>
                <w:sz w:val="21"/>
                <w:szCs w:val="21"/>
                <w:shd w:val="clear" w:fill="FFFFFF"/>
                <w:lang w:eastAsia="zh-CN"/>
              </w:rPr>
              <w:t>，</w:t>
            </w:r>
            <w:r>
              <w:rPr>
                <w:rFonts w:ascii="微软雅黑" w:hAnsi="微软雅黑" w:eastAsia="微软雅黑" w:cs="微软雅黑"/>
                <w:i w:val="0"/>
                <w:iCs w:val="0"/>
                <w:caps w:val="0"/>
                <w:color w:val="333333"/>
                <w:spacing w:val="0"/>
                <w:sz w:val="21"/>
                <w:szCs w:val="21"/>
                <w:shd w:val="clear" w:fill="FFFFFF"/>
              </w:rPr>
              <w:t>制热功率</w:t>
            </w:r>
            <w:r>
              <w:rPr>
                <w:rFonts w:ascii="微软雅黑" w:hAnsi="微软雅黑" w:eastAsia="微软雅黑" w:cs="微软雅黑"/>
                <w:i w:val="0"/>
                <w:iCs w:val="0"/>
                <w:caps w:val="0"/>
                <w:color w:val="999999"/>
                <w:spacing w:val="0"/>
                <w:sz w:val="21"/>
                <w:szCs w:val="21"/>
                <w:shd w:val="clear" w:fill="FFFFFF"/>
              </w:rPr>
              <w:t>2200W</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jc w:val="both"/>
              <w:textAlignment w:val="center"/>
              <w:rPr>
                <w:color w:val="auto"/>
                <w:highlight w:val="none"/>
              </w:rPr>
            </w:pPr>
            <w:r>
              <w:rPr>
                <w:rFonts w:ascii="微软雅黑" w:hAnsi="微软雅黑" w:eastAsia="微软雅黑" w:cs="微软雅黑"/>
                <w:i w:val="0"/>
                <w:iCs w:val="0"/>
                <w:caps w:val="0"/>
                <w:color w:val="333333"/>
                <w:spacing w:val="0"/>
                <w:sz w:val="21"/>
                <w:szCs w:val="21"/>
                <w:shd w:val="clear" w:fill="FFFFFF"/>
              </w:rPr>
              <w:t>循环风量</w:t>
            </w:r>
            <w:r>
              <w:rPr>
                <w:rFonts w:ascii="微软雅黑" w:hAnsi="微软雅黑" w:eastAsia="微软雅黑" w:cs="微软雅黑"/>
                <w:i w:val="0"/>
                <w:iCs w:val="0"/>
                <w:caps w:val="0"/>
                <w:color w:val="999999"/>
                <w:spacing w:val="0"/>
                <w:sz w:val="21"/>
                <w:szCs w:val="21"/>
                <w:shd w:val="clear" w:fill="FFFFFF"/>
              </w:rPr>
              <w:t>1280m3/h</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jc w:val="both"/>
              <w:textAlignment w:val="center"/>
              <w:rPr>
                <w:color w:val="auto"/>
                <w:highlight w:val="none"/>
              </w:rPr>
            </w:pPr>
            <w:r>
              <w:rPr>
                <w:rFonts w:ascii="微软雅黑" w:hAnsi="微软雅黑" w:eastAsia="微软雅黑" w:cs="微软雅黑"/>
                <w:i w:val="0"/>
                <w:iCs w:val="0"/>
                <w:caps w:val="0"/>
                <w:color w:val="333333"/>
                <w:spacing w:val="0"/>
                <w:sz w:val="21"/>
                <w:szCs w:val="21"/>
                <w:shd w:val="clear" w:fill="FFFFFF"/>
              </w:rPr>
              <w:t>室内机噪音</w:t>
            </w:r>
            <w:r>
              <w:rPr>
                <w:rFonts w:ascii="微软雅黑" w:hAnsi="微软雅黑" w:eastAsia="微软雅黑" w:cs="微软雅黑"/>
                <w:i w:val="0"/>
                <w:iCs w:val="0"/>
                <w:caps w:val="0"/>
                <w:color w:val="999999"/>
                <w:spacing w:val="0"/>
                <w:sz w:val="21"/>
                <w:szCs w:val="21"/>
                <w:shd w:val="clear" w:fill="FFFFFF"/>
              </w:rPr>
              <w:t>43dB</w:t>
            </w:r>
            <w:r>
              <w:rPr>
                <w:rFonts w:hint="eastAsia" w:ascii="微软雅黑" w:hAnsi="微软雅黑" w:eastAsia="微软雅黑" w:cs="微软雅黑"/>
                <w:i w:val="0"/>
                <w:iCs w:val="0"/>
                <w:caps w:val="0"/>
                <w:color w:val="999999"/>
                <w:spacing w:val="0"/>
                <w:sz w:val="21"/>
                <w:szCs w:val="21"/>
                <w:shd w:val="clear" w:fill="FFFFFF"/>
                <w:lang w:eastAsia="zh-CN"/>
              </w:rPr>
              <w:t>，</w:t>
            </w:r>
            <w:r>
              <w:rPr>
                <w:rFonts w:ascii="微软雅黑" w:hAnsi="微软雅黑" w:eastAsia="微软雅黑" w:cs="微软雅黑"/>
                <w:i w:val="0"/>
                <w:iCs w:val="0"/>
                <w:caps w:val="0"/>
                <w:color w:val="333333"/>
                <w:spacing w:val="0"/>
                <w:sz w:val="21"/>
                <w:szCs w:val="21"/>
                <w:shd w:val="clear" w:fill="FFFFFF"/>
              </w:rPr>
              <w:t>室外机噪音</w:t>
            </w:r>
            <w:r>
              <w:rPr>
                <w:rFonts w:ascii="微软雅黑" w:hAnsi="微软雅黑" w:eastAsia="微软雅黑" w:cs="微软雅黑"/>
                <w:i w:val="0"/>
                <w:iCs w:val="0"/>
                <w:caps w:val="0"/>
                <w:color w:val="999999"/>
                <w:spacing w:val="0"/>
                <w:sz w:val="21"/>
                <w:szCs w:val="21"/>
                <w:shd w:val="clear" w:fill="FFFFFF"/>
              </w:rPr>
              <w:t>55dB</w:t>
            </w: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52"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75" w:hRule="atLeast"/>
          <w:jc w:val="center"/>
        </w:trPr>
        <w:tc>
          <w:tcPr>
            <w:tcW w:w="346" w:type="pct"/>
            <w:tcBorders>
              <w:top w:val="nil"/>
              <w:left w:val="single" w:color="000000" w:sz="4"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color w:val="auto"/>
                <w:sz w:val="21"/>
                <w:highlight w:val="none"/>
                <w:lang w:val="en-US" w:eastAsia="zh-CN"/>
              </w:rPr>
              <w:t>25</w:t>
            </w:r>
          </w:p>
        </w:tc>
        <w:tc>
          <w:tcPr>
            <w:tcW w:w="416"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24口交换机</w:t>
            </w:r>
          </w:p>
        </w:tc>
        <w:tc>
          <w:tcPr>
            <w:tcW w:w="3439" w:type="pc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交换容量</w:t>
            </w:r>
            <w:r>
              <w:rPr>
                <w:rFonts w:hint="eastAsia" w:ascii="宋体" w:hAnsi="宋体" w:eastAsia="宋体" w:cs="宋体"/>
                <w:color w:val="auto"/>
                <w:sz w:val="21"/>
                <w:szCs w:val="21"/>
                <w:highlight w:val="none"/>
                <w:u w:val="none"/>
                <w:lang w:val="en-US" w:eastAsia="zh-CN"/>
              </w:rPr>
              <w:t>336G</w:t>
            </w:r>
            <w:r>
              <w:rPr>
                <w:rFonts w:hint="eastAsia" w:ascii="宋体" w:hAnsi="宋体" w:eastAsia="宋体" w:cs="宋体"/>
                <w:color w:val="auto"/>
                <w:sz w:val="21"/>
                <w:szCs w:val="21"/>
                <w:highlight w:val="none"/>
                <w:u w:val="none"/>
              </w:rPr>
              <w:t>bps/</w:t>
            </w:r>
            <w:r>
              <w:rPr>
                <w:rFonts w:hint="eastAsia" w:ascii="宋体" w:hAnsi="宋体" w:eastAsia="宋体" w:cs="宋体"/>
                <w:color w:val="auto"/>
                <w:sz w:val="21"/>
                <w:szCs w:val="21"/>
                <w:highlight w:val="none"/>
                <w:u w:val="none"/>
                <w:lang w:val="en-US" w:eastAsia="zh-CN"/>
              </w:rPr>
              <w:t>3.36</w:t>
            </w:r>
            <w:r>
              <w:rPr>
                <w:rFonts w:hint="eastAsia" w:ascii="宋体" w:hAnsi="宋体" w:eastAsia="宋体" w:cs="宋体"/>
                <w:color w:val="auto"/>
                <w:sz w:val="21"/>
                <w:szCs w:val="21"/>
                <w:highlight w:val="none"/>
                <w:u w:val="none"/>
              </w:rPr>
              <w:t>Tbps，包转发率</w:t>
            </w:r>
            <w:r>
              <w:rPr>
                <w:rFonts w:hint="eastAsia" w:ascii="宋体" w:hAnsi="宋体" w:eastAsia="宋体" w:cs="宋体"/>
                <w:color w:val="auto"/>
                <w:sz w:val="21"/>
                <w:szCs w:val="21"/>
                <w:highlight w:val="none"/>
                <w:u w:val="none"/>
                <w:lang w:val="en-US" w:eastAsia="zh-CN"/>
              </w:rPr>
              <w:t>108</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126</w:t>
            </w:r>
            <w:r>
              <w:rPr>
                <w:rFonts w:hint="eastAsia" w:ascii="宋体" w:hAnsi="宋体" w:eastAsia="宋体" w:cs="宋体"/>
                <w:color w:val="auto"/>
                <w:sz w:val="21"/>
                <w:szCs w:val="21"/>
                <w:highlight w:val="none"/>
                <w:u w:val="none"/>
              </w:rPr>
              <w:t>Mpps；</w:t>
            </w: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rPr>
              <w:t>散热方式：风扇散热</w:t>
            </w: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rPr>
              <w:t>上行端口速率：万兆</w:t>
            </w: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rPr>
              <w:t>端口类型：电口</w:t>
            </w: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rPr>
              <w:t>端口数量：24口</w:t>
            </w: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rPr>
              <w:t>规格：19英寸（标准机架）</w:t>
            </w: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rPr>
              <w:t>下行接口类型：以太网交换机</w:t>
            </w: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rPr>
              <w:t>下行端口速率：</w:t>
            </w:r>
            <w:r>
              <w:rPr>
                <w:rFonts w:hint="eastAsia" w:ascii="宋体" w:hAnsi="宋体" w:eastAsia="宋体" w:cs="宋体"/>
                <w:color w:val="auto"/>
                <w:sz w:val="21"/>
                <w:szCs w:val="21"/>
                <w:highlight w:val="none"/>
                <w:u w:val="none"/>
                <w:lang w:val="en-US" w:eastAsia="zh-CN"/>
              </w:rPr>
              <w:t>千</w:t>
            </w:r>
            <w:r>
              <w:rPr>
                <w:rFonts w:hint="default" w:ascii="宋体" w:hAnsi="宋体" w:eastAsia="宋体" w:cs="宋体"/>
                <w:color w:val="auto"/>
                <w:sz w:val="21"/>
                <w:szCs w:val="21"/>
                <w:highlight w:val="none"/>
                <w:u w:val="none"/>
              </w:rPr>
              <w:t>兆</w:t>
            </w: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rPr>
              <w:t>端口供电功能：非POE供电</w:t>
            </w: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jc w:val="both"/>
              <w:rPr>
                <w:rFonts w:hint="default"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jc w:val="both"/>
              <w:rPr>
                <w:rFonts w:hint="eastAsia" w:ascii="宋体" w:hAnsi="宋体" w:eastAsia="宋体" w:cs="宋体"/>
                <w:color w:val="auto"/>
                <w:sz w:val="21"/>
                <w:szCs w:val="21"/>
                <w:highlight w:val="none"/>
              </w:rPr>
            </w:pPr>
          </w:p>
        </w:tc>
        <w:tc>
          <w:tcPr>
            <w:tcW w:w="344" w:type="pc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52" w:type="pct"/>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p>
          <w:p>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bl>
    <w:p>
      <w:pPr>
        <w:rPr>
          <w:highlight w:val="none"/>
        </w:rPr>
      </w:pPr>
    </w:p>
    <w:p>
      <w:pPr>
        <w:rPr>
          <w:highlight w:val="none"/>
        </w:rPr>
      </w:pPr>
    </w:p>
    <w:p>
      <w:pPr>
        <w:jc w:val="left"/>
        <w:rPr>
          <w:rFonts w:hint="eastAsia" w:eastAsiaTheme="minorEastAsia"/>
          <w:highlight w:val="none"/>
          <w:lang w:eastAsia="zh-CN"/>
        </w:rPr>
      </w:pPr>
      <w:r>
        <w:rPr>
          <w:highlight w:val="none"/>
        </w:rPr>
        <w:t>说明</w:t>
      </w:r>
      <w:r>
        <w:rPr>
          <w:rFonts w:hint="eastAsia"/>
          <w:highlight w:val="none"/>
          <w:lang w:eastAsia="zh-CN"/>
        </w:rPr>
        <w:t>：</w:t>
      </w:r>
      <w:r>
        <w:rPr>
          <w:highlight w:val="none"/>
        </w:rPr>
        <w:t>打“★”号条款为实质性条款，若有任何一条负偏离或不满足则导致投标（响应）无效。</w:t>
      </w:r>
    </w:p>
    <w:p>
      <w:pPr>
        <w:rPr>
          <w:rFonts w:hint="eastAsia"/>
          <w:b/>
          <w:sz w:val="36"/>
          <w:highlight w:val="none"/>
          <w:lang w:val="en-US" w:eastAsia="zh-Hans"/>
        </w:rPr>
      </w:pPr>
      <w:r>
        <w:rPr>
          <w:highlight w:val="none"/>
        </w:rPr>
        <w:t>打“▲”号条款为重要技术参数（如有），若有部分“▲”条款未响应或不满足，将根据评审要求影响其得分，但不作为无效投标（响应）条款。</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2000503000000020004"/>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00" w:usb3="00000000" w:csb0="00160000" w:csb1="00000000"/>
  </w:font>
  <w:font w:name="PingFang S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205C8"/>
    <w:multiLevelType w:val="singleLevel"/>
    <w:tmpl w:val="B36205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VjMjk5ZTMwOGQ5YzhjMjZiMDE2M2JmNmIwZjMifQ=="/>
  </w:docVars>
  <w:rsids>
    <w:rsidRoot w:val="00172A27"/>
    <w:rsid w:val="000625CB"/>
    <w:rsid w:val="00AE1309"/>
    <w:rsid w:val="04E346B8"/>
    <w:rsid w:val="068D3EFF"/>
    <w:rsid w:val="080C73CD"/>
    <w:rsid w:val="08881AD9"/>
    <w:rsid w:val="09CA2D09"/>
    <w:rsid w:val="0A570ACF"/>
    <w:rsid w:val="0B993589"/>
    <w:rsid w:val="11AC0C1B"/>
    <w:rsid w:val="121429AE"/>
    <w:rsid w:val="132711CC"/>
    <w:rsid w:val="15052598"/>
    <w:rsid w:val="15515684"/>
    <w:rsid w:val="15B24580"/>
    <w:rsid w:val="177F50ED"/>
    <w:rsid w:val="1959210B"/>
    <w:rsid w:val="1EAA767D"/>
    <w:rsid w:val="1F4A4333"/>
    <w:rsid w:val="210A4734"/>
    <w:rsid w:val="21BD4EEF"/>
    <w:rsid w:val="226D25A2"/>
    <w:rsid w:val="24374FE7"/>
    <w:rsid w:val="26960AAD"/>
    <w:rsid w:val="26DF5807"/>
    <w:rsid w:val="29072876"/>
    <w:rsid w:val="2C5801F0"/>
    <w:rsid w:val="2D482013"/>
    <w:rsid w:val="2E1D5974"/>
    <w:rsid w:val="30443820"/>
    <w:rsid w:val="31431947"/>
    <w:rsid w:val="36BE5BE0"/>
    <w:rsid w:val="39315B48"/>
    <w:rsid w:val="39CF63B6"/>
    <w:rsid w:val="3D5245B8"/>
    <w:rsid w:val="3EAF54F5"/>
    <w:rsid w:val="3FC428BF"/>
    <w:rsid w:val="40D65D03"/>
    <w:rsid w:val="42971DC0"/>
    <w:rsid w:val="44A1408B"/>
    <w:rsid w:val="4714323A"/>
    <w:rsid w:val="47B9793D"/>
    <w:rsid w:val="4D4C318D"/>
    <w:rsid w:val="4D73058E"/>
    <w:rsid w:val="4DF47F1F"/>
    <w:rsid w:val="4E3C36A4"/>
    <w:rsid w:val="500C31D4"/>
    <w:rsid w:val="520850C0"/>
    <w:rsid w:val="53B52B8D"/>
    <w:rsid w:val="56A13487"/>
    <w:rsid w:val="5A6403B7"/>
    <w:rsid w:val="5B1041C2"/>
    <w:rsid w:val="5C912A53"/>
    <w:rsid w:val="5D371C25"/>
    <w:rsid w:val="5D616655"/>
    <w:rsid w:val="5DB76275"/>
    <w:rsid w:val="5FE430E9"/>
    <w:rsid w:val="64767998"/>
    <w:rsid w:val="648E5D71"/>
    <w:rsid w:val="64C5571C"/>
    <w:rsid w:val="664E3797"/>
    <w:rsid w:val="66B72759"/>
    <w:rsid w:val="6BE05B4A"/>
    <w:rsid w:val="6D550310"/>
    <w:rsid w:val="6D851EEC"/>
    <w:rsid w:val="6E906D9A"/>
    <w:rsid w:val="7101188A"/>
    <w:rsid w:val="713A5DF3"/>
    <w:rsid w:val="763D7808"/>
    <w:rsid w:val="77F79321"/>
    <w:rsid w:val="7CCF4F32"/>
    <w:rsid w:val="7D2269D7"/>
    <w:rsid w:val="7E9C6AB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style>
  <w:style w:type="paragraph" w:styleId="5">
    <w:name w:val="toc 3"/>
    <w:basedOn w:val="1"/>
    <w:next w:val="1"/>
    <w:qFormat/>
    <w:uiPriority w:val="0"/>
    <w:pPr>
      <w:ind w:left="420"/>
      <w:jc w:val="left"/>
    </w:pPr>
    <w:rPr>
      <w:iCs/>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beforeLines="0" w:after="120" w:afterLines="0"/>
      <w:jc w:val="left"/>
    </w:pPr>
    <w:rPr>
      <w:b/>
      <w:bCs/>
      <w:caps/>
      <w:sz w:val="20"/>
      <w:szCs w:val="20"/>
    </w:rPr>
  </w:style>
  <w:style w:type="paragraph" w:styleId="9">
    <w:name w:val="toc 2"/>
    <w:basedOn w:val="1"/>
    <w:next w:val="1"/>
    <w:qFormat/>
    <w:uiPriority w:val="0"/>
    <w:pPr>
      <w:ind w:left="210"/>
      <w:jc w:val="left"/>
    </w:pPr>
    <w:rPr>
      <w:smallCaps/>
      <w:sz w:val="20"/>
      <w:szCs w:val="20"/>
    </w:rPr>
  </w:style>
  <w:style w:type="character" w:styleId="12">
    <w:name w:val="Hyperlink"/>
    <w:basedOn w:val="11"/>
    <w:qFormat/>
    <w:uiPriority w:val="0"/>
    <w:rPr>
      <w:color w:val="0000FF"/>
      <w:u w:val="single"/>
    </w:rPr>
  </w:style>
  <w:style w:type="paragraph" w:styleId="13">
    <w:name w:val="No Spacing"/>
    <w:basedOn w:val="1"/>
    <w:qFormat/>
    <w:uiPriority w:val="1"/>
  </w:style>
  <w:style w:type="paragraph" w:customStyle="1" w:styleId="14">
    <w:name w:val="p1"/>
    <w:basedOn w:val="1"/>
    <w:qFormat/>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 w:type="paragraph" w:customStyle="1" w:styleId="15">
    <w:name w:val="p2"/>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6855</Words>
  <Characters>8382</Characters>
  <Lines>0</Lines>
  <Paragraphs>0</Paragraphs>
  <TotalTime>3</TotalTime>
  <ScaleCrop>false</ScaleCrop>
  <LinksUpToDate>false</LinksUpToDate>
  <CharactersWithSpaces>8553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Pc</cp:lastModifiedBy>
  <dcterms:modified xsi:type="dcterms:W3CDTF">2023-07-01T04:56:43Z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E74D1B15A0C04026803D30BC34852E86_13</vt:lpwstr>
  </property>
</Properties>
</file>