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2"/>
          <w:szCs w:val="32"/>
        </w:rPr>
      </w:pPr>
      <w:r>
        <w:rPr>
          <w:rFonts w:hint="eastAsia" w:asciiTheme="minorEastAsia" w:hAnsiTheme="minorEastAsia"/>
          <w:b/>
          <w:sz w:val="32"/>
          <w:szCs w:val="32"/>
          <w:u w:val="single"/>
        </w:rPr>
        <w:t xml:space="preserve">广州南方学院商业银行模拟运营决策仿真系统采购项目 </w:t>
      </w:r>
      <w:r>
        <w:rPr>
          <w:rFonts w:hint="eastAsia" w:asciiTheme="minorEastAsia" w:hAnsiTheme="minorEastAsia"/>
          <w:b/>
          <w:sz w:val="32"/>
          <w:szCs w:val="32"/>
        </w:rPr>
        <w:t>评</w:t>
      </w:r>
      <w:r>
        <w:rPr>
          <w:rFonts w:hint="eastAsia" w:asciiTheme="minorEastAsia" w:hAnsiTheme="minorEastAsia"/>
          <w:b/>
          <w:sz w:val="32"/>
          <w:szCs w:val="32"/>
          <w:lang w:val="en-US" w:eastAsia="zh-CN"/>
        </w:rPr>
        <w:t>分</w:t>
      </w:r>
      <w:r>
        <w:rPr>
          <w:rFonts w:hint="eastAsia" w:asciiTheme="minorEastAsia" w:hAnsiTheme="minorEastAsia"/>
          <w:b/>
          <w:sz w:val="32"/>
          <w:szCs w:val="32"/>
        </w:rPr>
        <w:t>表</w:t>
      </w:r>
    </w:p>
    <w:p>
      <w:pPr>
        <w:pStyle w:val="2"/>
        <w:rPr>
          <w:rFonts w:hint="eastAsia"/>
        </w:rPr>
      </w:pPr>
    </w:p>
    <w:p>
      <w:pPr>
        <w:jc w:val="both"/>
        <w:rPr>
          <w:rFonts w:hint="eastAsia" w:eastAsia="宋体" w:asciiTheme="minorEastAsia" w:hAnsiTheme="minorEastAsia"/>
          <w:b/>
          <w:sz w:val="24"/>
          <w:szCs w:val="24"/>
          <w:lang w:val="en-US" w:eastAsia="zh-CN"/>
        </w:rPr>
      </w:pPr>
      <w:r>
        <w:rPr>
          <w:rFonts w:hint="eastAsia" w:asciiTheme="minorEastAsia" w:hAnsiTheme="minorEastAsia"/>
          <w:b/>
          <w:sz w:val="24"/>
          <w:szCs w:val="24"/>
          <w:lang w:val="en-US" w:eastAsia="zh-CN"/>
        </w:rPr>
        <w:t>投标单位名称                                                                    总得分：</w:t>
      </w:r>
    </w:p>
    <w:tbl>
      <w:tblPr>
        <w:tblStyle w:val="6"/>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185"/>
        <w:gridCol w:w="6540"/>
        <w:gridCol w:w="120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852" w:type="dxa"/>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1185" w:type="dxa"/>
            <w:vAlign w:val="center"/>
          </w:tcPr>
          <w:p>
            <w:pPr>
              <w:jc w:val="center"/>
              <w:rPr>
                <w:rFonts w:ascii="宋体" w:hAnsi="宋体"/>
                <w:color w:val="000000"/>
                <w:sz w:val="24"/>
                <w:szCs w:val="24"/>
              </w:rPr>
            </w:pPr>
            <w:r>
              <w:rPr>
                <w:rFonts w:hint="eastAsia" w:ascii="宋体" w:hAnsi="宋体"/>
                <w:color w:val="000000"/>
                <w:sz w:val="24"/>
                <w:szCs w:val="24"/>
              </w:rPr>
              <w:t>分值项</w:t>
            </w:r>
          </w:p>
        </w:tc>
        <w:tc>
          <w:tcPr>
            <w:tcW w:w="6540" w:type="dxa"/>
            <w:vAlign w:val="center"/>
          </w:tcPr>
          <w:p>
            <w:pPr>
              <w:jc w:val="center"/>
              <w:rPr>
                <w:rFonts w:ascii="宋体" w:hAnsi="宋体"/>
                <w:color w:val="000000"/>
                <w:sz w:val="24"/>
                <w:szCs w:val="24"/>
              </w:rPr>
            </w:pPr>
            <w:r>
              <w:rPr>
                <w:rFonts w:hint="eastAsia" w:ascii="宋体" w:hAnsi="宋体"/>
                <w:color w:val="000000"/>
                <w:sz w:val="24"/>
                <w:szCs w:val="24"/>
              </w:rPr>
              <w:t>说明</w:t>
            </w:r>
          </w:p>
        </w:tc>
        <w:tc>
          <w:tcPr>
            <w:tcW w:w="1203" w:type="dxa"/>
            <w:vAlign w:val="center"/>
          </w:tcPr>
          <w:p>
            <w:pPr>
              <w:jc w:val="center"/>
              <w:rPr>
                <w:rFonts w:ascii="宋体" w:hAnsi="宋体"/>
                <w:color w:val="000000"/>
                <w:sz w:val="24"/>
                <w:szCs w:val="24"/>
              </w:rPr>
            </w:pPr>
            <w:r>
              <w:rPr>
                <w:rFonts w:hint="eastAsia" w:ascii="宋体" w:hAnsi="宋体"/>
                <w:color w:val="000000"/>
                <w:sz w:val="24"/>
                <w:szCs w:val="24"/>
              </w:rPr>
              <w:t>分值上限</w:t>
            </w:r>
          </w:p>
        </w:tc>
        <w:tc>
          <w:tcPr>
            <w:tcW w:w="930"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52" w:type="dxa"/>
            <w:vAlign w:val="center"/>
          </w:tcPr>
          <w:p>
            <w:pPr>
              <w:jc w:val="center"/>
              <w:rPr>
                <w:rFonts w:ascii="宋体" w:hAnsi="宋体"/>
                <w:color w:val="000000"/>
                <w:sz w:val="24"/>
                <w:szCs w:val="24"/>
              </w:rPr>
            </w:pPr>
            <w:r>
              <w:rPr>
                <w:rFonts w:hint="eastAsia" w:ascii="宋体" w:hAnsi="宋体"/>
                <w:color w:val="000000"/>
                <w:sz w:val="24"/>
                <w:szCs w:val="24"/>
              </w:rPr>
              <w:t>1</w:t>
            </w:r>
          </w:p>
        </w:tc>
        <w:tc>
          <w:tcPr>
            <w:tcW w:w="1185" w:type="dxa"/>
            <w:vAlign w:val="center"/>
          </w:tcPr>
          <w:p>
            <w:pPr>
              <w:jc w:val="center"/>
              <w:rPr>
                <w:rFonts w:ascii="宋体" w:hAnsi="宋体"/>
                <w:color w:val="000000"/>
                <w:sz w:val="24"/>
                <w:szCs w:val="24"/>
              </w:rPr>
            </w:pPr>
            <w:r>
              <w:rPr>
                <w:rFonts w:hint="eastAsia" w:ascii="宋体" w:hAnsi="宋体"/>
                <w:color w:val="000000"/>
                <w:sz w:val="24"/>
                <w:szCs w:val="24"/>
                <w:lang w:val="en-US" w:eastAsia="zh-CN"/>
              </w:rPr>
              <w:t>价格分（30分）</w:t>
            </w:r>
          </w:p>
        </w:tc>
        <w:tc>
          <w:tcPr>
            <w:tcW w:w="6540" w:type="dxa"/>
            <w:vAlign w:val="center"/>
          </w:tcPr>
          <w:p>
            <w:pPr>
              <w:rPr>
                <w:rFonts w:hint="eastAsia" w:ascii="宋体" w:hAnsi="宋体"/>
                <w:color w:val="000000"/>
                <w:sz w:val="24"/>
                <w:szCs w:val="24"/>
                <w:lang w:val="en-US" w:eastAsia="zh-CN"/>
              </w:rPr>
            </w:pPr>
            <w:r>
              <w:rPr>
                <w:rFonts w:hint="eastAsia" w:ascii="宋体" w:hAnsi="宋体"/>
                <w:color w:val="000000"/>
                <w:sz w:val="24"/>
                <w:szCs w:val="24"/>
                <w:lang w:val="en-US" w:eastAsia="zh-CN"/>
              </w:rPr>
              <w:t>投标人报价得分＝（评标基准价/投标报价）×30</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注解：</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1、评标基准价为满足招标文件要求且投标价格最低的投标报价；</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2、投标人报价为投标函中投标总价。</w:t>
            </w:r>
          </w:p>
          <w:p>
            <w:pPr>
              <w:rPr>
                <w:rFonts w:hint="default" w:ascii="仿宋_GB2312" w:eastAsia="宋体"/>
                <w:sz w:val="24"/>
                <w:szCs w:val="24"/>
                <w:lang w:val="en-US" w:eastAsia="zh-CN"/>
              </w:rPr>
            </w:pPr>
            <w:r>
              <w:rPr>
                <w:rFonts w:hint="eastAsia" w:ascii="宋体" w:hAnsi="宋体"/>
                <w:color w:val="000000"/>
                <w:sz w:val="24"/>
                <w:szCs w:val="24"/>
                <w:lang w:val="en-US" w:eastAsia="zh-CN"/>
              </w:rPr>
              <w:t>注：有效投标方为通过资格审查和符合性审查的投标单位。</w:t>
            </w:r>
          </w:p>
        </w:tc>
        <w:tc>
          <w:tcPr>
            <w:tcW w:w="1203" w:type="dxa"/>
            <w:vAlign w:val="center"/>
          </w:tcPr>
          <w:p>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30</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852" w:type="dxa"/>
            <w:vAlign w:val="center"/>
          </w:tcPr>
          <w:p>
            <w:pPr>
              <w:jc w:val="center"/>
              <w:rPr>
                <w:rFonts w:ascii="宋体" w:hAnsi="宋体"/>
                <w:color w:val="000000"/>
                <w:sz w:val="24"/>
                <w:szCs w:val="24"/>
              </w:rPr>
            </w:pPr>
            <w:r>
              <w:rPr>
                <w:rFonts w:hint="eastAsia" w:ascii="宋体" w:hAnsi="宋体"/>
                <w:color w:val="000000"/>
                <w:sz w:val="24"/>
                <w:szCs w:val="24"/>
              </w:rPr>
              <w:t>2</w:t>
            </w:r>
          </w:p>
        </w:tc>
        <w:tc>
          <w:tcPr>
            <w:tcW w:w="1185" w:type="dxa"/>
            <w:vMerge w:val="restart"/>
            <w:vAlign w:val="center"/>
          </w:tcPr>
          <w:p>
            <w:pPr>
              <w:rPr>
                <w:sz w:val="24"/>
                <w:szCs w:val="24"/>
              </w:rPr>
            </w:pPr>
          </w:p>
          <w:p>
            <w:pPr>
              <w:jc w:val="center"/>
              <w:rPr>
                <w:rFonts w:hint="eastAsia" w:ascii="宋体" w:hAnsi="宋体" w:eastAsia="宋体"/>
                <w:color w:val="000000"/>
                <w:sz w:val="24"/>
                <w:szCs w:val="24"/>
                <w:lang w:eastAsia="zh-CN"/>
              </w:rPr>
            </w:pPr>
            <w:r>
              <w:rPr>
                <w:rFonts w:hint="eastAsia" w:ascii="宋体" w:hAnsi="宋体" w:cs="宋体"/>
                <w:color w:val="000000"/>
                <w:sz w:val="24"/>
                <w:szCs w:val="24"/>
                <w:lang w:val="en-US" w:eastAsia="zh-CN"/>
              </w:rPr>
              <w:t>商务分（20分）</w:t>
            </w:r>
          </w:p>
        </w:tc>
        <w:tc>
          <w:tcPr>
            <w:tcW w:w="6540" w:type="dxa"/>
            <w:vAlign w:val="center"/>
          </w:tcPr>
          <w:p>
            <w:pP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资质</w:t>
            </w:r>
            <w:r>
              <w:rPr>
                <w:rFonts w:hint="eastAsia" w:ascii="宋体" w:hAnsi="宋体" w:cs="宋体"/>
                <w:color w:val="000000"/>
                <w:kern w:val="0"/>
                <w:sz w:val="24"/>
                <w:szCs w:val="24"/>
                <w:lang w:val="en-US" w:eastAsia="zh-CN"/>
              </w:rPr>
              <w:t>：</w:t>
            </w:r>
          </w:p>
          <w:p>
            <w:pPr>
              <w:rPr>
                <w:rFonts w:hint="eastAsia" w:ascii="宋体" w:hAnsi="宋体"/>
                <w:color w:val="000000"/>
                <w:sz w:val="24"/>
                <w:szCs w:val="24"/>
              </w:rPr>
            </w:pPr>
            <w:r>
              <w:rPr>
                <w:rFonts w:hint="eastAsia" w:ascii="宋体" w:hAnsi="宋体"/>
                <w:color w:val="000000"/>
                <w:sz w:val="24"/>
                <w:szCs w:val="24"/>
              </w:rPr>
              <w:t>1.开发单位必须是拥有自主独立研发能力的企业，拥有软件著作权证书，提供证明材料复印件（每提供一个得2分，最高得8分。）；</w:t>
            </w:r>
          </w:p>
          <w:p>
            <w:pPr>
              <w:rPr>
                <w:rFonts w:ascii="宋体" w:hAnsi="宋体" w:cs="宋体"/>
                <w:color w:val="000000"/>
                <w:sz w:val="24"/>
                <w:szCs w:val="24"/>
              </w:rPr>
            </w:pPr>
            <w:r>
              <w:rPr>
                <w:rFonts w:hint="eastAsia" w:ascii="宋体" w:hAnsi="宋体"/>
                <w:color w:val="000000"/>
                <w:sz w:val="24"/>
                <w:szCs w:val="24"/>
              </w:rPr>
              <w:t>2.开发单位拥有高新企业证书，提供证明材料复印件（提供得2分，不提供得0分）；</w:t>
            </w:r>
          </w:p>
        </w:tc>
        <w:tc>
          <w:tcPr>
            <w:tcW w:w="1203" w:type="dxa"/>
            <w:vAlign w:val="center"/>
          </w:tcPr>
          <w:p>
            <w:pPr>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10</w:t>
            </w:r>
          </w:p>
        </w:tc>
        <w:tc>
          <w:tcPr>
            <w:tcW w:w="930" w:type="dxa"/>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852" w:type="dxa"/>
            <w:vAlign w:val="center"/>
          </w:tcPr>
          <w:p>
            <w:pPr>
              <w:jc w:val="center"/>
              <w:rPr>
                <w:rFonts w:ascii="宋体" w:hAnsi="宋体"/>
                <w:color w:val="000000"/>
                <w:sz w:val="24"/>
                <w:szCs w:val="24"/>
              </w:rPr>
            </w:pPr>
            <w:r>
              <w:rPr>
                <w:rFonts w:hint="eastAsia" w:ascii="宋体" w:hAnsi="宋体"/>
                <w:color w:val="000000"/>
                <w:sz w:val="24"/>
                <w:szCs w:val="24"/>
              </w:rPr>
              <w:t>3</w:t>
            </w:r>
          </w:p>
        </w:tc>
        <w:tc>
          <w:tcPr>
            <w:tcW w:w="1185" w:type="dxa"/>
            <w:vMerge w:val="continue"/>
            <w:vAlign w:val="center"/>
          </w:tcPr>
          <w:p>
            <w:pPr>
              <w:jc w:val="center"/>
              <w:rPr>
                <w:rFonts w:ascii="宋体" w:hAnsi="宋体"/>
                <w:color w:val="000000"/>
                <w:sz w:val="24"/>
                <w:szCs w:val="24"/>
              </w:rPr>
            </w:pPr>
          </w:p>
        </w:tc>
        <w:tc>
          <w:tcPr>
            <w:tcW w:w="6540" w:type="dxa"/>
            <w:vAlign w:val="center"/>
          </w:tcPr>
          <w:p>
            <w:pPr>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行业案例</w:t>
            </w:r>
            <w:r>
              <w:rPr>
                <w:rFonts w:hint="eastAsia"/>
                <w:sz w:val="24"/>
                <w:szCs w:val="24"/>
                <w:lang w:eastAsia="zh-CN"/>
              </w:rPr>
              <w:t>：</w:t>
            </w:r>
          </w:p>
          <w:p>
            <w:pPr>
              <w:rPr>
                <w:sz w:val="24"/>
                <w:szCs w:val="24"/>
              </w:rPr>
            </w:pPr>
            <w:r>
              <w:rPr>
                <w:rFonts w:hint="eastAsia"/>
                <w:sz w:val="24"/>
                <w:szCs w:val="24"/>
              </w:rPr>
              <w:t>所投软件产品厂家具备成熟的项目经验，提供同类项目证明材料（合同）得10分，每提供一个项目得2分，提供证明材料复印件。</w:t>
            </w:r>
          </w:p>
        </w:tc>
        <w:tc>
          <w:tcPr>
            <w:tcW w:w="1203" w:type="dxa"/>
            <w:vAlign w:val="center"/>
          </w:tcPr>
          <w:p>
            <w:pPr>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10</w:t>
            </w:r>
          </w:p>
        </w:tc>
        <w:tc>
          <w:tcPr>
            <w:tcW w:w="930"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jc w:val="center"/>
        </w:trPr>
        <w:tc>
          <w:tcPr>
            <w:tcW w:w="852" w:type="dxa"/>
            <w:vAlign w:val="center"/>
          </w:tcPr>
          <w:p>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4</w:t>
            </w:r>
          </w:p>
        </w:tc>
        <w:tc>
          <w:tcPr>
            <w:tcW w:w="1185" w:type="dxa"/>
            <w:vAlign w:val="center"/>
          </w:tcPr>
          <w:p>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技术分（50分）</w:t>
            </w:r>
          </w:p>
        </w:tc>
        <w:tc>
          <w:tcPr>
            <w:tcW w:w="6540" w:type="dxa"/>
            <w:vAlign w:val="center"/>
          </w:tcPr>
          <w:p>
            <w:pPr>
              <w:numPr>
                <w:ilvl w:val="0"/>
                <w:numId w:val="1"/>
              </w:numPr>
              <w:rPr>
                <w:rFonts w:hint="eastAsia" w:ascii="宋体" w:hAnsi="宋体"/>
                <w:color w:val="000000"/>
                <w:sz w:val="24"/>
                <w:szCs w:val="24"/>
              </w:rPr>
            </w:pPr>
            <w:r>
              <w:rPr>
                <w:rFonts w:hint="eastAsia" w:ascii="宋体" w:hAnsi="宋体"/>
                <w:color w:val="000000"/>
                <w:sz w:val="24"/>
                <w:szCs w:val="24"/>
              </w:rPr>
              <w:t>技术参数响应</w:t>
            </w:r>
            <w:r>
              <w:rPr>
                <w:rFonts w:hint="eastAsia" w:ascii="宋体" w:hAnsi="宋体"/>
                <w:color w:val="000000"/>
                <w:sz w:val="24"/>
                <w:szCs w:val="24"/>
                <w:lang w:val="en-US" w:eastAsia="zh-CN"/>
              </w:rPr>
              <w:t>情况</w:t>
            </w:r>
          </w:p>
          <w:p>
            <w:pPr>
              <w:widowControl/>
              <w:numPr>
                <w:ilvl w:val="255"/>
                <w:numId w:val="0"/>
              </w:numPr>
              <w:rPr>
                <w:rFonts w:hint="default"/>
                <w:sz w:val="24"/>
                <w:szCs w:val="24"/>
                <w:lang w:val="en-US" w:eastAsia="zh-CN"/>
              </w:rPr>
            </w:pPr>
            <w:r>
              <w:rPr>
                <w:rFonts w:hint="default"/>
                <w:sz w:val="24"/>
                <w:szCs w:val="24"/>
                <w:lang w:val="en-US" w:eastAsia="zh-CN"/>
              </w:rPr>
              <w:t>对用户需求中的技术指标条款全部响应为满足或优于的得</w:t>
            </w:r>
            <w:r>
              <w:rPr>
                <w:rFonts w:hint="eastAsia"/>
                <w:sz w:val="24"/>
                <w:szCs w:val="24"/>
                <w:lang w:val="en-US" w:eastAsia="zh-CN"/>
              </w:rPr>
              <w:t>20</w:t>
            </w:r>
            <w:r>
              <w:rPr>
                <w:rFonts w:hint="default"/>
                <w:sz w:val="24"/>
                <w:szCs w:val="24"/>
                <w:lang w:val="en-US" w:eastAsia="zh-CN"/>
              </w:rPr>
              <w:t>分。其中，不符合标“★”的任一项的，则视为未实质响应招标要求，取消其投标资格。</w:t>
            </w:r>
            <w:r>
              <w:rPr>
                <w:rFonts w:hint="eastAsia"/>
                <w:sz w:val="24"/>
                <w:szCs w:val="24"/>
                <w:lang w:val="en-US" w:eastAsia="zh-CN"/>
              </w:rPr>
              <w:t>其他</w:t>
            </w:r>
            <w:r>
              <w:rPr>
                <w:rFonts w:hint="default"/>
                <w:sz w:val="24"/>
                <w:szCs w:val="24"/>
                <w:lang w:val="en-US" w:eastAsia="zh-CN"/>
              </w:rPr>
              <w:t>参数指标不满足或者不响应的每一项扣2分，本项最低得0分。</w:t>
            </w:r>
          </w:p>
          <w:p>
            <w:pPr>
              <w:widowControl/>
              <w:numPr>
                <w:ilvl w:val="255"/>
                <w:numId w:val="0"/>
              </w:numPr>
              <w:rPr>
                <w:rFonts w:hint="default"/>
                <w:sz w:val="24"/>
                <w:szCs w:val="24"/>
                <w:lang w:val="en-US" w:eastAsia="zh-CN"/>
              </w:rPr>
            </w:pPr>
            <w:r>
              <w:rPr>
                <w:rFonts w:hint="default"/>
                <w:sz w:val="24"/>
                <w:szCs w:val="24"/>
                <w:lang w:val="en-US" w:eastAsia="zh-CN"/>
              </w:rPr>
              <w:t>注：①如用户需求书中已明确要求提供证明资料的，则投标文件中需提供对应的证明资料。</w:t>
            </w:r>
          </w:p>
          <w:p>
            <w:pPr>
              <w:widowControl/>
              <w:numPr>
                <w:ilvl w:val="255"/>
                <w:numId w:val="0"/>
              </w:numPr>
              <w:ind w:left="0" w:leftChars="0" w:firstLine="0" w:firstLineChars="0"/>
              <w:rPr>
                <w:rFonts w:ascii="宋体" w:hAnsi="宋体"/>
                <w:color w:val="000000"/>
                <w:sz w:val="24"/>
                <w:szCs w:val="24"/>
              </w:rPr>
            </w:pPr>
            <w:r>
              <w:rPr>
                <w:rFonts w:hint="default"/>
                <w:sz w:val="24"/>
                <w:szCs w:val="24"/>
                <w:lang w:val="en-US" w:eastAsia="zh-CN"/>
              </w:rPr>
              <w:t>②如用户需求书中未明确提供证明资料的，则投标文件中需提供所投产品彩页原件或原厂商所作的技术参数说明等详细技术资料复印件。</w:t>
            </w:r>
          </w:p>
        </w:tc>
        <w:tc>
          <w:tcPr>
            <w:tcW w:w="1203" w:type="dxa"/>
            <w:vAlign w:val="center"/>
          </w:tcPr>
          <w:p>
            <w:pPr>
              <w:jc w:val="center"/>
              <w:rPr>
                <w:rFonts w:hint="default" w:ascii="宋体" w:hAnsi="宋体"/>
                <w:color w:val="000000"/>
                <w:sz w:val="24"/>
                <w:szCs w:val="24"/>
                <w:lang w:val="en-US"/>
              </w:rPr>
            </w:pPr>
            <w:r>
              <w:rPr>
                <w:rFonts w:hint="eastAsia" w:ascii="宋体" w:hAnsi="宋体"/>
                <w:color w:val="000000"/>
                <w:sz w:val="24"/>
                <w:szCs w:val="24"/>
                <w:lang w:val="en-US" w:eastAsia="zh-CN"/>
              </w:rPr>
              <w:t>20</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2" w:type="dxa"/>
            <w:vAlign w:val="center"/>
          </w:tcPr>
          <w:p>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1185" w:type="dxa"/>
            <w:vAlign w:val="center"/>
          </w:tcPr>
          <w:p>
            <w:pPr>
              <w:jc w:val="center"/>
              <w:rPr>
                <w:rFonts w:ascii="宋体" w:hAnsi="宋体"/>
                <w:color w:val="000000"/>
                <w:sz w:val="24"/>
                <w:szCs w:val="24"/>
              </w:rPr>
            </w:pPr>
            <w:r>
              <w:rPr>
                <w:rFonts w:hint="eastAsia" w:ascii="宋体" w:hAnsi="宋体"/>
                <w:color w:val="000000"/>
                <w:sz w:val="24"/>
                <w:szCs w:val="24"/>
                <w:lang w:val="en-US" w:eastAsia="zh-CN"/>
              </w:rPr>
              <w:t>技术分（50分）</w:t>
            </w:r>
          </w:p>
        </w:tc>
        <w:tc>
          <w:tcPr>
            <w:tcW w:w="6540" w:type="dxa"/>
            <w:vAlign w:val="center"/>
          </w:tcPr>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产品演示</w:t>
            </w:r>
            <w:r>
              <w:rPr>
                <w:rFonts w:hint="eastAsia"/>
                <w:sz w:val="24"/>
                <w:szCs w:val="24"/>
                <w:lang w:val="en-US" w:eastAsia="zh-CN"/>
              </w:rPr>
              <w:t>：（投标人必须在投标时进行现场演示；不提供软件现场演示或者用PPT等其他方式演示的不得分；现场演示时，要求演示的功能模块完全满足的可得分，不能满足的不得分。）</w:t>
            </w:r>
            <w:r>
              <w:rPr>
                <w:rFonts w:hint="eastAsia"/>
                <w:sz w:val="24"/>
                <w:szCs w:val="24"/>
              </w:rPr>
              <w:t>现场演示时间不超过</w:t>
            </w:r>
            <w:r>
              <w:rPr>
                <w:rFonts w:hint="eastAsia"/>
                <w:sz w:val="24"/>
                <w:szCs w:val="24"/>
                <w:lang w:val="en-US" w:eastAsia="zh-CN"/>
              </w:rPr>
              <w:t>20</w:t>
            </w:r>
            <w:r>
              <w:rPr>
                <w:rFonts w:hint="eastAsia"/>
                <w:sz w:val="24"/>
                <w:szCs w:val="24"/>
              </w:rPr>
              <w:t>分钟。</w:t>
            </w:r>
          </w:p>
          <w:p>
            <w:pPr>
              <w:numPr>
                <w:ilvl w:val="0"/>
                <w:numId w:val="2"/>
              </w:numPr>
              <w:rPr>
                <w:rFonts w:hint="eastAsia"/>
                <w:sz w:val="24"/>
                <w:szCs w:val="24"/>
                <w:lang w:val="en-US" w:eastAsia="zh-CN"/>
              </w:rPr>
            </w:pPr>
            <w:r>
              <w:rPr>
                <w:rFonts w:hint="eastAsia" w:ascii="宋体" w:hAnsi="宋体" w:cs="宋体"/>
                <w:sz w:val="24"/>
                <w:szCs w:val="24"/>
                <w:lang w:val="en-US" w:eastAsia="zh-CN"/>
              </w:rPr>
              <w:t>★系统包含商业银行团队、企业团队、央行/银监会团队，各团队必须分设不同角色完成操作。如只有商业银行团队，无企业团队和央行团队，视为废标。</w:t>
            </w:r>
            <w:r>
              <w:rPr>
                <w:rFonts w:hint="eastAsia" w:ascii="宋体" w:hAnsi="宋体"/>
                <w:color w:val="000000"/>
                <w:sz w:val="24"/>
                <w:szCs w:val="24"/>
                <w:lang w:val="en-US" w:eastAsia="zh-CN"/>
              </w:rPr>
              <w:t>满分</w:t>
            </w:r>
            <w:r>
              <w:rPr>
                <w:rFonts w:hint="eastAsia"/>
                <w:sz w:val="24"/>
                <w:szCs w:val="24"/>
                <w:lang w:val="en-US" w:eastAsia="zh-CN"/>
              </w:rPr>
              <w:t>4</w:t>
            </w:r>
            <w:r>
              <w:rPr>
                <w:rFonts w:hint="default"/>
                <w:sz w:val="24"/>
                <w:szCs w:val="24"/>
                <w:lang w:val="en-US" w:eastAsia="zh-CN"/>
              </w:rPr>
              <w:t>分，最低得0分</w:t>
            </w:r>
            <w:r>
              <w:rPr>
                <w:rFonts w:hint="eastAsia" w:ascii="宋体" w:hAnsi="宋体"/>
                <w:color w:val="000000"/>
                <w:sz w:val="24"/>
                <w:szCs w:val="24"/>
              </w:rPr>
              <w:t>。</w:t>
            </w:r>
          </w:p>
          <w:p>
            <w:pPr>
              <w:bidi w:val="0"/>
              <w:rPr>
                <w:rFonts w:hint="eastAsia"/>
                <w:sz w:val="24"/>
                <w:szCs w:val="24"/>
                <w:lang w:val="en-US" w:eastAsia="zh-CN"/>
              </w:rPr>
            </w:pPr>
          </w:p>
          <w:p>
            <w:pPr>
              <w:numPr>
                <w:ilvl w:val="0"/>
                <w:numId w:val="2"/>
              </w:numPr>
              <w:ind w:left="0" w:leftChars="0" w:firstLine="0" w:firstLineChars="0"/>
              <w:rPr>
                <w:rFonts w:hint="eastAsia" w:ascii="宋体" w:hAnsi="宋体"/>
                <w:color w:val="000000"/>
                <w:sz w:val="24"/>
                <w:szCs w:val="24"/>
              </w:rPr>
            </w:pPr>
            <w:r>
              <w:rPr>
                <w:rFonts w:hint="eastAsia" w:ascii="宋体" w:hAnsi="宋体" w:cs="宋体"/>
                <w:sz w:val="24"/>
                <w:szCs w:val="24"/>
              </w:rPr>
              <w:t>★决策仿真系统各角色具有复杂的交互性，银行与企业之间存在密切的存贷、理财、结算、咨询、代理、投资等业务关系，企业之间存在土地、贷款、投资等交易与竞争关系，银行之间存在存款、贷款等交易与竞争关系，央行和银监会与其他各团队之间存在监管、货币与财政政策等宏观经济调控、土地等经济要素供给、市场需求调节等职能。</w:t>
            </w:r>
            <w:r>
              <w:rPr>
                <w:rFonts w:hint="eastAsia" w:ascii="宋体" w:hAnsi="宋体"/>
                <w:color w:val="000000"/>
                <w:sz w:val="24"/>
                <w:szCs w:val="24"/>
                <w:lang w:val="en-US" w:eastAsia="zh-CN"/>
              </w:rPr>
              <w:t>满分</w:t>
            </w:r>
            <w:r>
              <w:rPr>
                <w:rFonts w:hint="eastAsia"/>
                <w:sz w:val="24"/>
                <w:szCs w:val="24"/>
                <w:lang w:val="en-US" w:eastAsia="zh-CN"/>
              </w:rPr>
              <w:t>4</w:t>
            </w:r>
            <w:r>
              <w:rPr>
                <w:rFonts w:hint="default"/>
                <w:sz w:val="24"/>
                <w:szCs w:val="24"/>
                <w:lang w:val="en-US" w:eastAsia="zh-CN"/>
              </w:rPr>
              <w:t>分，最低得0分</w:t>
            </w:r>
            <w:r>
              <w:rPr>
                <w:rFonts w:hint="eastAsia" w:ascii="宋体" w:hAnsi="宋体"/>
                <w:color w:val="000000"/>
                <w:sz w:val="24"/>
                <w:szCs w:val="24"/>
              </w:rPr>
              <w:t>。</w:t>
            </w:r>
          </w:p>
          <w:p>
            <w:pPr>
              <w:bidi w:val="0"/>
              <w:rPr>
                <w:rFonts w:hint="eastAsia"/>
                <w:sz w:val="24"/>
                <w:szCs w:val="24"/>
              </w:rPr>
            </w:pPr>
          </w:p>
          <w:p>
            <w:pPr>
              <w:numPr>
                <w:ilvl w:val="0"/>
                <w:numId w:val="2"/>
              </w:numPr>
              <w:ind w:left="0" w:leftChars="0" w:firstLine="0" w:firstLineChars="0"/>
              <w:rPr>
                <w:rFonts w:hint="eastAsia" w:ascii="宋体" w:hAnsi="宋体"/>
                <w:color w:val="000000"/>
                <w:sz w:val="24"/>
                <w:szCs w:val="24"/>
              </w:rPr>
            </w:pPr>
            <w:r>
              <w:rPr>
                <w:rFonts w:hint="eastAsia" w:ascii="宋体" w:hAnsi="宋体" w:cs="宋体"/>
                <w:sz w:val="24"/>
                <w:szCs w:val="24"/>
              </w:rPr>
              <w:t>★较真实地模拟银监会对商业银行的分级监管，模拟商业银行对企业的信贷风险管控与评价。</w:t>
            </w:r>
            <w:r>
              <w:rPr>
                <w:rFonts w:hint="eastAsia" w:ascii="宋体" w:hAnsi="宋体"/>
                <w:color w:val="000000"/>
                <w:sz w:val="24"/>
                <w:szCs w:val="24"/>
                <w:lang w:val="en-US" w:eastAsia="zh-CN"/>
              </w:rPr>
              <w:t>满分</w:t>
            </w:r>
            <w:r>
              <w:rPr>
                <w:rFonts w:hint="eastAsia"/>
                <w:sz w:val="24"/>
                <w:szCs w:val="24"/>
                <w:lang w:val="en-US" w:eastAsia="zh-CN"/>
              </w:rPr>
              <w:t>4</w:t>
            </w:r>
            <w:r>
              <w:rPr>
                <w:rFonts w:hint="default"/>
                <w:sz w:val="24"/>
                <w:szCs w:val="24"/>
                <w:lang w:val="en-US" w:eastAsia="zh-CN"/>
              </w:rPr>
              <w:t>分，最低得0分</w:t>
            </w:r>
            <w:r>
              <w:rPr>
                <w:rFonts w:hint="eastAsia" w:ascii="宋体" w:hAnsi="宋体"/>
                <w:color w:val="000000"/>
                <w:sz w:val="24"/>
                <w:szCs w:val="24"/>
              </w:rPr>
              <w:t>。</w:t>
            </w:r>
          </w:p>
          <w:p>
            <w:pPr>
              <w:bidi w:val="0"/>
              <w:rPr>
                <w:rFonts w:hint="eastAsia"/>
                <w:sz w:val="24"/>
                <w:szCs w:val="24"/>
              </w:rPr>
            </w:pPr>
          </w:p>
          <w:p>
            <w:pPr>
              <w:numPr>
                <w:ilvl w:val="0"/>
                <w:numId w:val="2"/>
              </w:numPr>
              <w:ind w:left="0" w:leftChars="0" w:firstLine="0" w:firstLineChars="0"/>
              <w:rPr>
                <w:rFonts w:hint="eastAsia" w:ascii="宋体" w:hAnsi="宋体"/>
                <w:color w:val="000000"/>
                <w:sz w:val="24"/>
                <w:szCs w:val="24"/>
              </w:rPr>
            </w:pPr>
            <w:r>
              <w:rPr>
                <w:rFonts w:hint="eastAsia" w:ascii="宋体" w:hAnsi="宋体" w:cs="宋体"/>
                <w:sz w:val="24"/>
                <w:szCs w:val="24"/>
              </w:rPr>
              <w:t>★具有完全自主著作权，须提供加盖制造商鲜章的著作权复印件，且现场在“中国版权服务”微信公众号查验著作权真伪。否则应提供在“中国版权服务”微信公众号著作权核查结果截图并加盖制造商鲜章。如提供虚假著作权，将按虚假应标处罚。如知识产权属于个人所有，需同时提供知识产权所有人身份证复印件。如非制造厂商投标，需提供制造厂商授权函和售后服务承诺函原件。</w:t>
            </w:r>
            <w:r>
              <w:rPr>
                <w:rFonts w:hint="eastAsia" w:ascii="宋体" w:hAnsi="宋体"/>
                <w:color w:val="000000"/>
                <w:sz w:val="24"/>
                <w:szCs w:val="24"/>
                <w:lang w:val="en-US" w:eastAsia="zh-CN"/>
              </w:rPr>
              <w:t>满分</w:t>
            </w:r>
            <w:r>
              <w:rPr>
                <w:rFonts w:hint="eastAsia"/>
                <w:sz w:val="24"/>
                <w:szCs w:val="24"/>
                <w:lang w:val="en-US" w:eastAsia="zh-CN"/>
              </w:rPr>
              <w:t>4</w:t>
            </w:r>
            <w:r>
              <w:rPr>
                <w:rFonts w:hint="default"/>
                <w:sz w:val="24"/>
                <w:szCs w:val="24"/>
                <w:lang w:val="en-US" w:eastAsia="zh-CN"/>
              </w:rPr>
              <w:t>分，最低得0分</w:t>
            </w:r>
            <w:r>
              <w:rPr>
                <w:rFonts w:hint="eastAsia" w:ascii="宋体" w:hAnsi="宋体"/>
                <w:color w:val="000000"/>
                <w:sz w:val="24"/>
                <w:szCs w:val="24"/>
              </w:rPr>
              <w:t>。</w:t>
            </w:r>
          </w:p>
          <w:p>
            <w:pPr>
              <w:bidi w:val="0"/>
              <w:rPr>
                <w:rFonts w:hint="eastAsia"/>
                <w:sz w:val="24"/>
                <w:szCs w:val="24"/>
              </w:rPr>
            </w:pPr>
          </w:p>
          <w:p>
            <w:pPr>
              <w:numPr>
                <w:ilvl w:val="0"/>
                <w:numId w:val="0"/>
              </w:numPr>
              <w:ind w:left="0" w:leftChars="0" w:firstLine="0" w:firstLineChars="0"/>
              <w:rPr>
                <w:rFonts w:hint="eastAsia" w:ascii="宋体" w:hAnsi="宋体"/>
                <w:color w:val="000000"/>
                <w:sz w:val="24"/>
                <w:szCs w:val="24"/>
              </w:rPr>
            </w:pPr>
            <w:r>
              <w:rPr>
                <w:rFonts w:hint="eastAsia" w:ascii="宋体" w:hAnsi="宋体" w:cs="宋体"/>
                <w:sz w:val="24"/>
                <w:szCs w:val="24"/>
                <w:lang w:val="en-US" w:eastAsia="zh-CN"/>
              </w:rPr>
              <w:t>5.</w:t>
            </w:r>
            <w:r>
              <w:rPr>
                <w:rFonts w:hint="default" w:ascii="宋体" w:hAnsi="宋体" w:cs="宋体"/>
                <w:sz w:val="24"/>
                <w:szCs w:val="24"/>
              </w:rPr>
              <w:t>【宏观政策与外部环境】★:所有团队可以参加央行竞选，制定房价涨幅、市场流动性目标。央行组或老师可以在此设置宏观经济数据，包括存款准备金率、央票与国债的发行规模、房地产首付比例等。未当选小组可以参与央行指标预测。</w:t>
            </w:r>
            <w:r>
              <w:rPr>
                <w:rFonts w:hint="eastAsia" w:ascii="宋体" w:hAnsi="宋体"/>
                <w:color w:val="000000"/>
                <w:sz w:val="24"/>
                <w:szCs w:val="24"/>
                <w:lang w:val="en-US" w:eastAsia="zh-CN"/>
              </w:rPr>
              <w:t>满分</w:t>
            </w:r>
            <w:r>
              <w:rPr>
                <w:rFonts w:hint="eastAsia"/>
                <w:sz w:val="24"/>
                <w:szCs w:val="24"/>
                <w:lang w:val="en-US" w:eastAsia="zh-CN"/>
              </w:rPr>
              <w:t>4</w:t>
            </w:r>
            <w:r>
              <w:rPr>
                <w:rFonts w:hint="default"/>
                <w:sz w:val="24"/>
                <w:szCs w:val="24"/>
                <w:lang w:val="en-US" w:eastAsia="zh-CN"/>
              </w:rPr>
              <w:t>分，最低得0分</w:t>
            </w:r>
            <w:r>
              <w:rPr>
                <w:rFonts w:hint="eastAsia" w:ascii="宋体" w:hAnsi="宋体"/>
                <w:color w:val="000000"/>
                <w:sz w:val="24"/>
                <w:szCs w:val="24"/>
              </w:rPr>
              <w:t>。</w:t>
            </w:r>
          </w:p>
        </w:tc>
        <w:tc>
          <w:tcPr>
            <w:tcW w:w="1203" w:type="dxa"/>
            <w:vAlign w:val="center"/>
          </w:tcPr>
          <w:p>
            <w:pPr>
              <w:jc w:val="center"/>
              <w:rPr>
                <w:rFonts w:ascii="宋体" w:hAnsi="宋体"/>
                <w:color w:val="000000"/>
                <w:sz w:val="24"/>
                <w:szCs w:val="24"/>
              </w:rPr>
            </w:pPr>
            <w:r>
              <w:rPr>
                <w:rFonts w:hint="eastAsia" w:ascii="宋体" w:hAnsi="宋体"/>
                <w:color w:val="000000"/>
                <w:sz w:val="24"/>
                <w:szCs w:val="24"/>
                <w:lang w:val="en-US" w:eastAsia="zh-CN"/>
              </w:rPr>
              <w:t>20</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52" w:type="dxa"/>
            <w:vAlign w:val="center"/>
          </w:tcPr>
          <w:p>
            <w:pPr>
              <w:jc w:val="center"/>
              <w:rPr>
                <w:rFonts w:hint="default" w:ascii="宋体" w:hAnsi="宋体"/>
                <w:color w:val="000000"/>
                <w:sz w:val="24"/>
                <w:szCs w:val="24"/>
                <w:lang w:val="en-US"/>
              </w:rPr>
            </w:pPr>
            <w:r>
              <w:rPr>
                <w:rFonts w:hint="eastAsia" w:ascii="宋体" w:hAnsi="宋体"/>
                <w:color w:val="000000"/>
                <w:sz w:val="24"/>
                <w:szCs w:val="24"/>
                <w:lang w:val="en-US" w:eastAsia="zh-CN"/>
              </w:rPr>
              <w:t>6</w:t>
            </w:r>
          </w:p>
        </w:tc>
        <w:tc>
          <w:tcPr>
            <w:tcW w:w="1185" w:type="dxa"/>
            <w:vMerge w:val="restart"/>
            <w:vAlign w:val="center"/>
          </w:tcPr>
          <w:p>
            <w:pPr>
              <w:rPr>
                <w:rFonts w:ascii="宋体" w:hAnsi="宋体"/>
                <w:color w:val="000000"/>
                <w:sz w:val="24"/>
                <w:szCs w:val="24"/>
              </w:rPr>
            </w:pPr>
            <w:r>
              <w:rPr>
                <w:rFonts w:hint="eastAsia" w:ascii="宋体" w:hAnsi="宋体"/>
                <w:color w:val="000000"/>
                <w:sz w:val="24"/>
                <w:szCs w:val="24"/>
                <w:lang w:val="en-US" w:eastAsia="zh-CN"/>
              </w:rPr>
              <w:t>技术分（50分）</w:t>
            </w:r>
          </w:p>
        </w:tc>
        <w:tc>
          <w:tcPr>
            <w:tcW w:w="6540" w:type="dxa"/>
            <w:vAlign w:val="center"/>
          </w:tcPr>
          <w:p>
            <w:pPr>
              <w:numPr>
                <w:ilvl w:val="0"/>
                <w:numId w:val="3"/>
              </w:numPr>
              <w:rPr>
                <w:rFonts w:hint="eastAsia" w:ascii="宋体" w:hAnsi="宋体" w:cs="微软雅黑"/>
                <w:color w:val="000000"/>
                <w:kern w:val="0"/>
                <w:sz w:val="24"/>
                <w:szCs w:val="24"/>
              </w:rPr>
            </w:pPr>
            <w:r>
              <w:rPr>
                <w:rFonts w:hint="eastAsia" w:ascii="宋体" w:hAnsi="宋体" w:cs="宋体"/>
                <w:kern w:val="0"/>
                <w:sz w:val="24"/>
                <w:szCs w:val="24"/>
              </w:rPr>
              <w:t>项目组织实施方案</w:t>
            </w:r>
            <w:r>
              <w:rPr>
                <w:rFonts w:hint="eastAsia" w:ascii="宋体" w:hAnsi="宋体" w:cs="宋体"/>
                <w:kern w:val="0"/>
                <w:sz w:val="24"/>
                <w:szCs w:val="24"/>
                <w:lang w:eastAsia="zh-CN"/>
              </w:rPr>
              <w:t>；</w:t>
            </w:r>
          </w:p>
          <w:p>
            <w:pPr>
              <w:numPr>
                <w:ilvl w:val="-1"/>
                <w:numId w:val="0"/>
              </w:numPr>
              <w:ind w:left="0" w:leftChars="0" w:firstLine="0" w:firstLineChars="0"/>
              <w:rPr>
                <w:rFonts w:ascii="宋体" w:hAnsi="宋体"/>
                <w:color w:val="000000"/>
                <w:sz w:val="24"/>
                <w:szCs w:val="24"/>
              </w:rPr>
            </w:pPr>
            <w:r>
              <w:rPr>
                <w:rFonts w:hint="eastAsia" w:ascii="宋体" w:hAnsi="宋体" w:cs="宋体"/>
                <w:sz w:val="24"/>
                <w:szCs w:val="24"/>
                <w:lang w:val="en-US" w:eastAsia="zh-CN"/>
              </w:rPr>
              <w:t>按投标人</w:t>
            </w:r>
            <w:r>
              <w:rPr>
                <w:rFonts w:hint="eastAsia" w:ascii="宋体" w:hAnsi="宋体"/>
                <w:color w:val="000000"/>
                <w:sz w:val="24"/>
                <w:szCs w:val="24"/>
              </w:rPr>
              <w:t>实施方案（包含但不限于质量保证、交货期、安装调试、验收等内容）的科学性、合理性等情况</w:t>
            </w:r>
            <w:r>
              <w:rPr>
                <w:rFonts w:hint="eastAsia" w:ascii="宋体" w:hAnsi="宋体"/>
                <w:color w:val="000000"/>
                <w:sz w:val="24"/>
                <w:szCs w:val="24"/>
                <w:lang w:val="en-US" w:eastAsia="zh-CN"/>
              </w:rPr>
              <w:t>进行评分，满分</w:t>
            </w:r>
            <w:r>
              <w:rPr>
                <w:rFonts w:hint="default"/>
                <w:sz w:val="24"/>
                <w:szCs w:val="24"/>
                <w:lang w:val="en-US" w:eastAsia="zh-CN"/>
              </w:rPr>
              <w:t>2分，最低得0分</w:t>
            </w:r>
            <w:r>
              <w:rPr>
                <w:rFonts w:hint="eastAsia" w:ascii="宋体" w:hAnsi="宋体"/>
                <w:color w:val="000000"/>
                <w:sz w:val="24"/>
                <w:szCs w:val="24"/>
              </w:rPr>
              <w:t>。</w:t>
            </w:r>
          </w:p>
        </w:tc>
        <w:tc>
          <w:tcPr>
            <w:tcW w:w="1203" w:type="dxa"/>
            <w:vAlign w:val="center"/>
          </w:tcPr>
          <w:p>
            <w:pPr>
              <w:jc w:val="center"/>
              <w:rPr>
                <w:rFonts w:ascii="宋体" w:hAnsi="宋体"/>
                <w:color w:val="000000"/>
                <w:sz w:val="24"/>
                <w:szCs w:val="24"/>
              </w:rPr>
            </w:pPr>
            <w:r>
              <w:rPr>
                <w:rFonts w:hint="eastAsia" w:ascii="宋体" w:hAnsi="宋体"/>
                <w:color w:val="000000"/>
                <w:sz w:val="24"/>
                <w:szCs w:val="24"/>
                <w:lang w:val="en-US" w:eastAsia="zh-CN"/>
              </w:rPr>
              <w:t>2</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2" w:type="dxa"/>
            <w:vAlign w:val="center"/>
          </w:tcPr>
          <w:p>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1185" w:type="dxa"/>
            <w:vMerge w:val="continue"/>
            <w:vAlign w:val="center"/>
          </w:tcPr>
          <w:p>
            <w:pPr>
              <w:rPr>
                <w:rFonts w:ascii="宋体" w:hAnsi="宋体"/>
                <w:color w:val="000000"/>
                <w:sz w:val="24"/>
                <w:szCs w:val="24"/>
              </w:rPr>
            </w:pPr>
          </w:p>
        </w:tc>
        <w:tc>
          <w:tcPr>
            <w:tcW w:w="6540" w:type="dxa"/>
            <w:vAlign w:val="center"/>
          </w:tcPr>
          <w:p>
            <w:pPr>
              <w:numPr>
                <w:ilvl w:val="0"/>
                <w:numId w:val="0"/>
              </w:numPr>
              <w:rPr>
                <w:rFonts w:hint="eastAsia" w:ascii="宋体" w:hAnsi="宋体" w:cs="宋体"/>
                <w:color w:val="000000"/>
                <w:kern w:val="0"/>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企业技术保障</w:t>
            </w:r>
            <w:r>
              <w:rPr>
                <w:rFonts w:hint="eastAsia" w:ascii="宋体" w:hAnsi="宋体" w:cs="宋体"/>
                <w:color w:val="000000"/>
                <w:kern w:val="0"/>
                <w:sz w:val="24"/>
                <w:szCs w:val="24"/>
                <w:lang w:val="en-US" w:eastAsia="zh-CN"/>
              </w:rPr>
              <w:t>：</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cs="宋体"/>
                <w:sz w:val="24"/>
                <w:szCs w:val="24"/>
              </w:rPr>
              <w:t>按</w:t>
            </w:r>
            <w:r>
              <w:rPr>
                <w:rFonts w:hint="eastAsia" w:ascii="宋体" w:hAnsi="宋体" w:cs="宋体"/>
                <w:sz w:val="24"/>
                <w:szCs w:val="24"/>
                <w:lang w:val="en-US" w:eastAsia="zh-CN"/>
              </w:rPr>
              <w:t>投标人</w:t>
            </w:r>
            <w:r>
              <w:rPr>
                <w:rFonts w:hint="eastAsia" w:ascii="宋体" w:hAnsi="宋体" w:cs="宋体"/>
                <w:sz w:val="24"/>
                <w:szCs w:val="24"/>
              </w:rPr>
              <w:t>提交的售后服务方案</w:t>
            </w:r>
            <w:r>
              <w:rPr>
                <w:rFonts w:hint="eastAsia" w:ascii="宋体" w:hAnsi="宋体" w:cs="宋体"/>
                <w:sz w:val="24"/>
                <w:szCs w:val="24"/>
                <w:lang w:eastAsia="zh-CN"/>
              </w:rPr>
              <w:t>：</w:t>
            </w:r>
            <w:r>
              <w:rPr>
                <w:rFonts w:hint="eastAsia" w:ascii="宋体" w:hAnsi="宋体" w:cs="宋体"/>
                <w:sz w:val="24"/>
                <w:szCs w:val="24"/>
              </w:rPr>
              <w:t>包含但不限于售后服务措施（保修期、维护保养及应急维修安排方案</w:t>
            </w:r>
            <w:r>
              <w:rPr>
                <w:rFonts w:hint="eastAsia" w:ascii="宋体" w:hAnsi="宋体" w:cs="宋体"/>
                <w:sz w:val="24"/>
                <w:szCs w:val="24"/>
                <w:lang w:val="en-US" w:eastAsia="zh-CN"/>
              </w:rPr>
              <w:t>及</w:t>
            </w:r>
            <w:r>
              <w:rPr>
                <w:rFonts w:hint="eastAsia" w:ascii="宋体" w:hAnsi="宋体" w:cs="宋体"/>
                <w:sz w:val="24"/>
                <w:szCs w:val="24"/>
              </w:rPr>
              <w:t>拟投入本项目的软件工程师等技术服务人员综合保障情况</w:t>
            </w:r>
            <w:r>
              <w:rPr>
                <w:rFonts w:hint="eastAsia" w:ascii="宋体" w:hAnsi="宋体" w:cs="宋体"/>
                <w:sz w:val="24"/>
                <w:szCs w:val="24"/>
                <w:lang w:val="en-US" w:eastAsia="zh-CN"/>
              </w:rPr>
              <w:t>评分，</w:t>
            </w:r>
            <w:r>
              <w:rPr>
                <w:rFonts w:hint="eastAsia" w:ascii="宋体" w:hAnsi="宋体"/>
                <w:color w:val="000000"/>
                <w:sz w:val="24"/>
                <w:szCs w:val="24"/>
                <w:lang w:val="en-US" w:eastAsia="zh-CN"/>
              </w:rPr>
              <w:t>满分</w:t>
            </w:r>
            <w:r>
              <w:rPr>
                <w:rFonts w:hint="eastAsia"/>
                <w:sz w:val="24"/>
                <w:szCs w:val="24"/>
                <w:lang w:val="en-US" w:eastAsia="zh-CN"/>
              </w:rPr>
              <w:t>3</w:t>
            </w:r>
            <w:bookmarkStart w:id="0" w:name="_GoBack"/>
            <w:bookmarkEnd w:id="0"/>
            <w:r>
              <w:rPr>
                <w:rFonts w:hint="default"/>
                <w:sz w:val="24"/>
                <w:szCs w:val="24"/>
                <w:lang w:val="en-US" w:eastAsia="zh-CN"/>
              </w:rPr>
              <w:t>分，最低得0分</w:t>
            </w:r>
            <w:r>
              <w:rPr>
                <w:rFonts w:hint="eastAsia" w:ascii="宋体" w:hAnsi="宋体"/>
                <w:color w:val="000000"/>
                <w:sz w:val="24"/>
                <w:szCs w:val="24"/>
              </w:rPr>
              <w:t>。</w:t>
            </w:r>
          </w:p>
          <w:p>
            <w:pPr>
              <w:numPr>
                <w:ilvl w:val="0"/>
                <w:numId w:val="0"/>
              </w:numPr>
              <w:ind w:left="0" w:leftChars="0" w:firstLine="480" w:firstLineChars="200"/>
              <w:rPr>
                <w:rFonts w:ascii="宋体" w:hAnsi="宋体"/>
                <w:color w:val="000000"/>
                <w:sz w:val="24"/>
                <w:szCs w:val="24"/>
              </w:rPr>
            </w:pPr>
            <w:r>
              <w:rPr>
                <w:rFonts w:hint="eastAsia" w:ascii="宋体" w:hAnsi="宋体" w:cs="宋体"/>
                <w:sz w:val="24"/>
                <w:szCs w:val="24"/>
              </w:rPr>
              <w:t>（提供以上人员在本单位为其缴纳的1-3月任意1个月的社保凭证，及相关资质证书作为证明材料。未提供不得分。）</w:t>
            </w:r>
          </w:p>
        </w:tc>
        <w:tc>
          <w:tcPr>
            <w:tcW w:w="1203" w:type="dxa"/>
            <w:vAlign w:val="center"/>
          </w:tcPr>
          <w:p>
            <w:pPr>
              <w:jc w:val="center"/>
              <w:rPr>
                <w:rFonts w:hint="default" w:ascii="宋体" w:hAnsi="宋体"/>
                <w:color w:val="000000"/>
                <w:sz w:val="24"/>
                <w:szCs w:val="24"/>
                <w:lang w:val="en-US"/>
              </w:rPr>
            </w:pPr>
            <w:r>
              <w:rPr>
                <w:rFonts w:hint="eastAsia" w:ascii="宋体" w:hAnsi="宋体"/>
                <w:color w:val="000000"/>
                <w:sz w:val="24"/>
                <w:szCs w:val="24"/>
                <w:lang w:val="en-US" w:eastAsia="zh-CN"/>
              </w:rPr>
              <w:t>3</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2" w:type="dxa"/>
            <w:vAlign w:val="center"/>
          </w:tcPr>
          <w:p>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8</w:t>
            </w:r>
          </w:p>
        </w:tc>
        <w:tc>
          <w:tcPr>
            <w:tcW w:w="1185" w:type="dxa"/>
            <w:vMerge w:val="continue"/>
            <w:vAlign w:val="center"/>
          </w:tcPr>
          <w:p>
            <w:pPr>
              <w:rPr>
                <w:rFonts w:ascii="宋体" w:hAnsi="宋体"/>
                <w:color w:val="000000"/>
                <w:sz w:val="24"/>
                <w:szCs w:val="24"/>
              </w:rPr>
            </w:pPr>
          </w:p>
        </w:tc>
        <w:tc>
          <w:tcPr>
            <w:tcW w:w="6540" w:type="dxa"/>
            <w:vAlign w:val="center"/>
          </w:tcPr>
          <w:p>
            <w:pPr>
              <w:numPr>
                <w:ilvl w:val="0"/>
                <w:numId w:val="0"/>
              </w:numPr>
              <w:rPr>
                <w:rFonts w:hint="eastAsia" w:ascii="宋体" w:hAnsi="宋体" w:cs="宋体"/>
                <w:color w:val="000000"/>
                <w:kern w:val="0"/>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培训计划方案</w:t>
            </w:r>
            <w:r>
              <w:rPr>
                <w:rFonts w:hint="eastAsia" w:ascii="宋体" w:hAnsi="宋体" w:cs="宋体"/>
                <w:color w:val="000000"/>
                <w:kern w:val="0"/>
                <w:sz w:val="24"/>
                <w:szCs w:val="24"/>
                <w:lang w:val="en-US" w:eastAsia="zh-CN"/>
              </w:rPr>
              <w:t>：</w:t>
            </w:r>
          </w:p>
          <w:p>
            <w:pPr>
              <w:snapToGrid w:val="0"/>
              <w:spacing w:line="360" w:lineRule="auto"/>
              <w:contextualSpacing/>
              <w:rPr>
                <w:rFonts w:hint="default" w:ascii="宋体" w:hAnsi="宋体" w:eastAsia="宋体" w:cs="宋体"/>
                <w:sz w:val="24"/>
                <w:szCs w:val="24"/>
              </w:rPr>
            </w:pPr>
            <w:r>
              <w:rPr>
                <w:rFonts w:ascii="宋体" w:hAnsi="宋体" w:eastAsia="宋体" w:cs="宋体"/>
                <w:sz w:val="24"/>
                <w:szCs w:val="24"/>
              </w:rPr>
              <w:t>根据投标人提供的技术培训方案</w:t>
            </w:r>
            <w:r>
              <w:rPr>
                <w:rFonts w:hint="eastAsia" w:ascii="宋体" w:hAnsi="宋体" w:cs="宋体"/>
                <w:sz w:val="24"/>
                <w:szCs w:val="24"/>
                <w:lang w:eastAsia="zh-CN"/>
              </w:rPr>
              <w:t>，</w:t>
            </w:r>
            <w:r>
              <w:rPr>
                <w:rFonts w:ascii="宋体" w:hAnsi="宋体" w:eastAsia="宋体" w:cs="宋体"/>
                <w:sz w:val="24"/>
                <w:szCs w:val="24"/>
              </w:rPr>
              <w:t>能满足或优于用户需求的，场地设备配套齐全完善、师资力量强、经验丰富，培训方案设计合理科学完善的为优，得3分；</w:t>
            </w:r>
          </w:p>
          <w:p>
            <w:pPr>
              <w:snapToGrid w:val="0"/>
              <w:spacing w:line="360" w:lineRule="auto"/>
              <w:contextualSpacing/>
              <w:rPr>
                <w:rFonts w:hint="default" w:ascii="宋体" w:hAnsi="宋体" w:eastAsia="宋体" w:cs="宋体"/>
                <w:sz w:val="24"/>
                <w:szCs w:val="24"/>
              </w:rPr>
            </w:pPr>
            <w:r>
              <w:rPr>
                <w:rFonts w:ascii="宋体" w:hAnsi="宋体" w:eastAsia="宋体" w:cs="宋体"/>
                <w:sz w:val="24"/>
                <w:szCs w:val="24"/>
              </w:rPr>
              <w:t>培训方案能满足用户需求的，场地设备配套比较齐全完善、师资力量较好、经验较为丰富，培训方案设计较为合理科学完善的为良，得2分；</w:t>
            </w:r>
          </w:p>
          <w:p>
            <w:pPr>
              <w:snapToGrid w:val="0"/>
              <w:spacing w:line="360" w:lineRule="auto"/>
              <w:contextualSpacing/>
              <w:rPr>
                <w:rFonts w:hint="default" w:ascii="宋体" w:hAnsi="宋体" w:eastAsia="宋体" w:cs="宋体"/>
                <w:sz w:val="24"/>
                <w:szCs w:val="24"/>
              </w:rPr>
            </w:pPr>
            <w:r>
              <w:rPr>
                <w:rFonts w:ascii="宋体" w:hAnsi="宋体" w:eastAsia="宋体" w:cs="宋体"/>
                <w:sz w:val="24"/>
                <w:szCs w:val="24"/>
              </w:rPr>
              <w:t>培训方案不能满足用户需求的，场地设备配套不够齐全完善、师资力量和经验一般，培训方案设计不够合理科学完善的1分；</w:t>
            </w:r>
          </w:p>
          <w:p>
            <w:pPr>
              <w:numPr>
                <w:ilvl w:val="0"/>
                <w:numId w:val="0"/>
              </w:numPr>
              <w:ind w:left="0" w:leftChars="0" w:firstLine="480" w:firstLineChars="200"/>
              <w:rPr>
                <w:rFonts w:hint="default" w:ascii="宋体" w:hAnsi="宋体" w:eastAsia="宋体"/>
                <w:color w:val="000000"/>
                <w:sz w:val="24"/>
                <w:szCs w:val="24"/>
                <w:lang w:val="en-US" w:eastAsia="zh-CN"/>
              </w:rPr>
            </w:pPr>
            <w:r>
              <w:rPr>
                <w:rFonts w:hint="eastAsia" w:ascii="宋体" w:hAnsi="宋体" w:eastAsia="宋体" w:cs="宋体"/>
                <w:sz w:val="24"/>
                <w:szCs w:val="24"/>
              </w:rPr>
              <w:t>加分项</w:t>
            </w: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sz w:val="24"/>
                <w:szCs w:val="24"/>
              </w:rPr>
              <w:t>原厂制造商针对产品举办过全国性师资培训会</w:t>
            </w:r>
            <w:r>
              <w:rPr>
                <w:rFonts w:hint="eastAsia" w:ascii="宋体" w:hAnsi="宋体" w:cs="宋体"/>
                <w:sz w:val="24"/>
                <w:szCs w:val="24"/>
                <w:lang w:eastAsia="zh-CN"/>
              </w:rPr>
              <w:t>，</w:t>
            </w:r>
            <w:r>
              <w:rPr>
                <w:rFonts w:hint="eastAsia" w:ascii="宋体" w:hAnsi="宋体" w:cs="宋体"/>
                <w:sz w:val="24"/>
                <w:szCs w:val="24"/>
                <w:lang w:val="en-US" w:eastAsia="zh-CN"/>
              </w:rPr>
              <w:t>加1分</w:t>
            </w:r>
            <w:r>
              <w:rPr>
                <w:rFonts w:hint="eastAsia" w:ascii="宋体" w:hAnsi="宋体" w:cs="宋体"/>
                <w:sz w:val="24"/>
                <w:szCs w:val="24"/>
                <w:lang w:eastAsia="zh-CN"/>
              </w:rPr>
              <w:t>（</w:t>
            </w:r>
            <w:r>
              <w:rPr>
                <w:rFonts w:hint="eastAsia" w:ascii="宋体" w:hAnsi="宋体" w:eastAsia="宋体" w:cs="宋体"/>
                <w:sz w:val="24"/>
                <w:szCs w:val="24"/>
              </w:rPr>
              <w:t>须提供加盖鲜章的师资培训会通知复印件和现场照片</w:t>
            </w:r>
            <w:r>
              <w:rPr>
                <w:rFonts w:hint="eastAsia" w:ascii="宋体" w:hAnsi="宋体" w:cs="宋体"/>
                <w:sz w:val="24"/>
                <w:szCs w:val="24"/>
                <w:lang w:eastAsia="zh-CN"/>
              </w:rPr>
              <w:t>）；</w:t>
            </w:r>
            <w:r>
              <w:rPr>
                <w:rFonts w:hint="eastAsia" w:ascii="宋体" w:hAnsi="宋体" w:cs="宋体"/>
                <w:sz w:val="24"/>
                <w:szCs w:val="24"/>
                <w:lang w:val="en-US" w:eastAsia="zh-CN"/>
              </w:rPr>
              <w:t>2.原厂制造商被列为高等教育学会“校企合作，双百计划”典型案例,加1分(须提供加盖制造商鲜章的展板图片)</w:t>
            </w:r>
            <w:r>
              <w:rPr>
                <w:rFonts w:hint="eastAsia" w:ascii="宋体" w:hAnsi="宋体" w:eastAsia="宋体" w:cs="宋体"/>
                <w:sz w:val="24"/>
                <w:szCs w:val="24"/>
              </w:rPr>
              <w:t>。</w:t>
            </w:r>
            <w:r>
              <w:rPr>
                <w:rFonts w:hint="eastAsia" w:ascii="宋体" w:hAnsi="宋体" w:cs="宋体"/>
                <w:sz w:val="24"/>
                <w:szCs w:val="24"/>
                <w:lang w:val="en-US" w:eastAsia="zh-CN"/>
              </w:rPr>
              <w:t>加分后该项总分不得超过3分。</w:t>
            </w:r>
          </w:p>
        </w:tc>
        <w:tc>
          <w:tcPr>
            <w:tcW w:w="1203"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3</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2" w:type="dxa"/>
            <w:vAlign w:val="center"/>
          </w:tcPr>
          <w:p>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9</w:t>
            </w:r>
          </w:p>
        </w:tc>
        <w:tc>
          <w:tcPr>
            <w:tcW w:w="1185" w:type="dxa"/>
            <w:vMerge w:val="continue"/>
            <w:vAlign w:val="center"/>
          </w:tcPr>
          <w:p>
            <w:pPr>
              <w:rPr>
                <w:rFonts w:ascii="宋体" w:hAnsi="宋体"/>
                <w:color w:val="000000"/>
                <w:sz w:val="24"/>
                <w:szCs w:val="24"/>
              </w:rPr>
            </w:pPr>
          </w:p>
        </w:tc>
        <w:tc>
          <w:tcPr>
            <w:tcW w:w="6540" w:type="dxa"/>
            <w:vAlign w:val="center"/>
          </w:tcPr>
          <w:p>
            <w:pPr>
              <w:numPr>
                <w:ilvl w:val="0"/>
                <w:numId w:val="0"/>
              </w:numPr>
              <w:rPr>
                <w:rFonts w:hint="eastAsia" w:ascii="宋体" w:hAnsi="宋体" w:cs="宋体"/>
                <w:color w:val="000000"/>
                <w:kern w:val="0"/>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本地化服务</w:t>
            </w:r>
            <w:r>
              <w:rPr>
                <w:rFonts w:hint="eastAsia" w:ascii="宋体" w:hAnsi="宋体" w:cs="宋体"/>
                <w:color w:val="000000"/>
                <w:kern w:val="0"/>
                <w:sz w:val="24"/>
                <w:szCs w:val="24"/>
                <w:lang w:val="en-US" w:eastAsia="zh-CN"/>
              </w:rPr>
              <w:t>：</w:t>
            </w:r>
          </w:p>
          <w:p>
            <w:pPr>
              <w:numPr>
                <w:ilvl w:val="0"/>
                <w:numId w:val="0"/>
              </w:numPr>
              <w:ind w:left="0" w:leftChars="0" w:firstLine="480" w:firstLineChars="200"/>
              <w:rPr>
                <w:rFonts w:hint="eastAsia" w:ascii="宋体" w:hAnsi="宋体"/>
                <w:color w:val="000000"/>
                <w:sz w:val="24"/>
                <w:szCs w:val="24"/>
              </w:rPr>
            </w:pPr>
            <w:r>
              <w:rPr>
                <w:rFonts w:hint="eastAsia" w:ascii="宋体" w:hAnsi="宋体" w:cs="宋体"/>
                <w:sz w:val="24"/>
                <w:szCs w:val="24"/>
              </w:rPr>
              <w:t>为保证服务质量，投标人在广东省经营（总公司或分公司、派出机构等）或设有固定的售后服务机构并提供相关证明材料的得2分，未设立专门服务机构不得分。</w:t>
            </w:r>
          </w:p>
        </w:tc>
        <w:tc>
          <w:tcPr>
            <w:tcW w:w="1203"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2</w:t>
            </w:r>
          </w:p>
        </w:tc>
        <w:tc>
          <w:tcPr>
            <w:tcW w:w="930" w:type="dxa"/>
            <w:vAlign w:val="center"/>
          </w:tcPr>
          <w:p>
            <w:pPr>
              <w:jc w:val="center"/>
              <w:rPr>
                <w:rFonts w:hint="eastAsia" w:ascii="宋体" w:hAnsi="宋体"/>
                <w:color w:val="000000"/>
                <w:sz w:val="24"/>
                <w:szCs w:val="24"/>
                <w:lang w:val="en-US" w:eastAsia="zh-CN"/>
              </w:rPr>
            </w:pPr>
          </w:p>
        </w:tc>
      </w:tr>
    </w:tbl>
    <w:p/>
    <w:sectPr>
      <w:headerReference r:id="rId5" w:type="default"/>
      <w:footerReference r:id="rId6"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评标专家：                 联系电话：                      </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4A252"/>
    <w:multiLevelType w:val="singleLevel"/>
    <w:tmpl w:val="EB54A252"/>
    <w:lvl w:ilvl="0" w:tentative="0">
      <w:start w:val="3"/>
      <w:numFmt w:val="decimal"/>
      <w:suff w:val="nothing"/>
      <w:lvlText w:val="（%1）"/>
      <w:lvlJc w:val="left"/>
    </w:lvl>
  </w:abstractNum>
  <w:abstractNum w:abstractNumId="1">
    <w:nsid w:val="4F45319F"/>
    <w:multiLevelType w:val="singleLevel"/>
    <w:tmpl w:val="4F45319F"/>
    <w:lvl w:ilvl="0" w:tentative="0">
      <w:start w:val="1"/>
      <w:numFmt w:val="decimal"/>
      <w:lvlText w:val="%1."/>
      <w:lvlJc w:val="left"/>
      <w:pPr>
        <w:tabs>
          <w:tab w:val="left" w:pos="312"/>
        </w:tabs>
      </w:pPr>
    </w:lvl>
  </w:abstractNum>
  <w:abstractNum w:abstractNumId="2">
    <w:nsid w:val="52A2C7D3"/>
    <w:multiLevelType w:val="singleLevel"/>
    <w:tmpl w:val="52A2C7D3"/>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70C47"/>
    <w:rsid w:val="0EDD3D81"/>
    <w:rsid w:val="126F5AE6"/>
    <w:rsid w:val="195A11A1"/>
    <w:rsid w:val="4661608D"/>
    <w:rsid w:val="4F670C47"/>
    <w:rsid w:val="4FE1381B"/>
    <w:rsid w:val="69DB5279"/>
    <w:rsid w:val="71E2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等线" w:hAnsi="等线" w:eastAsia="等线" w:cs="Times New Roman"/>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2021-07-27T01:01:00Z</dcterms:created>
  <dc:creator>Pc</dc:creator>
  <cp:lastModifiedBy>Pc</cp:lastModifiedBy>
  <dcterms:modified xsi:type="dcterms:W3CDTF">2021-09-22T03:10:54Z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1C24615F6FF74E68868729E793A6EAE4</vt:lpwstr>
  </property>
</Properties>
</file>