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36"/>
          <w:szCs w:val="36"/>
        </w:rPr>
      </w:pPr>
      <w:r>
        <w:rPr>
          <w:rFonts w:ascii="黑体" w:hAnsi="宋体" w:eastAsia="黑体"/>
          <w:sz w:val="36"/>
          <w:szCs w:val="36"/>
        </w:rPr>
        <w:t>护理实验室</w:t>
      </w:r>
      <w:r>
        <w:rPr>
          <w:rFonts w:hint="eastAsia" w:ascii="黑体" w:hAnsi="宋体" w:eastAsia="黑体"/>
          <w:sz w:val="36"/>
          <w:szCs w:val="36"/>
        </w:rPr>
        <w:t>虚拟实验教学平台用户需求书</w:t>
      </w:r>
    </w:p>
    <w:p>
      <w:pPr>
        <w:ind w:firstLine="2160" w:firstLineChars="600"/>
        <w:rPr>
          <w:rFonts w:ascii="黑体" w:hAnsi="宋体" w:eastAsia="黑体"/>
          <w:sz w:val="36"/>
          <w:szCs w:val="36"/>
        </w:rPr>
      </w:pPr>
    </w:p>
    <w:p>
      <w:pPr>
        <w:rPr>
          <w:rFonts w:ascii="宋体" w:hAnsi="宋体"/>
          <w:b/>
          <w:sz w:val="24"/>
        </w:rPr>
      </w:pPr>
      <w:r>
        <w:rPr>
          <w:rFonts w:hint="eastAsia" w:ascii="宋体" w:hAnsi="宋体"/>
          <w:b/>
          <w:sz w:val="24"/>
        </w:rPr>
        <w:t>一、采购范围</w:t>
      </w:r>
    </w:p>
    <w:p>
      <w:pPr>
        <w:numPr>
          <w:ilvl w:val="0"/>
          <w:numId w:val="1"/>
        </w:numPr>
        <w:rPr>
          <w:rFonts w:ascii="宋体" w:hAnsi="宋体"/>
          <w:sz w:val="24"/>
        </w:rPr>
      </w:pPr>
      <w:r>
        <w:rPr>
          <w:rFonts w:hint="eastAsia" w:ascii="宋体" w:hAnsi="宋体"/>
          <w:sz w:val="24"/>
        </w:rPr>
        <w:t>护理实验室购置虚拟实验教学平台</w:t>
      </w:r>
      <w:r>
        <w:rPr>
          <w:rFonts w:ascii="宋体" w:hAnsi="宋体"/>
          <w:sz w:val="24"/>
        </w:rPr>
        <w:t>系统</w:t>
      </w:r>
      <w:r>
        <w:rPr>
          <w:rFonts w:hint="eastAsia" w:ascii="宋体" w:hAnsi="宋体"/>
          <w:sz w:val="24"/>
        </w:rPr>
        <w:t>，用于更新基础护理学、</w:t>
      </w:r>
      <w:r>
        <w:rPr>
          <w:rFonts w:ascii="宋体" w:hAnsi="宋体"/>
          <w:sz w:val="24"/>
        </w:rPr>
        <w:t>生</w:t>
      </w:r>
      <w:r>
        <w:rPr>
          <w:rFonts w:hint="eastAsia" w:ascii="宋体" w:hAnsi="宋体"/>
          <w:sz w:val="24"/>
        </w:rPr>
        <w:t>理学等</w:t>
      </w:r>
      <w:r>
        <w:rPr>
          <w:rFonts w:ascii="宋体" w:hAnsi="宋体"/>
          <w:sz w:val="24"/>
        </w:rPr>
        <w:t>虚拟实验教学</w:t>
      </w:r>
      <w:r>
        <w:rPr>
          <w:rFonts w:hint="eastAsia" w:ascii="宋体" w:hAnsi="宋体"/>
          <w:sz w:val="24"/>
        </w:rPr>
        <w:t>，满足</w:t>
      </w:r>
      <w:r>
        <w:rPr>
          <w:rFonts w:ascii="宋体" w:hAnsi="宋体"/>
          <w:sz w:val="24"/>
        </w:rPr>
        <w:t>《</w:t>
      </w:r>
      <w:r>
        <w:rPr>
          <w:rFonts w:hint="eastAsia" w:ascii="宋体" w:hAnsi="宋体"/>
          <w:sz w:val="24"/>
        </w:rPr>
        <w:t>基础护理学</w:t>
      </w:r>
      <w:r>
        <w:rPr>
          <w:rFonts w:ascii="宋体" w:hAnsi="宋体"/>
          <w:sz w:val="24"/>
        </w:rPr>
        <w:t>》</w:t>
      </w:r>
      <w:r>
        <w:rPr>
          <w:rFonts w:hint="eastAsia" w:ascii="宋体" w:hAnsi="宋体"/>
          <w:sz w:val="24"/>
        </w:rPr>
        <w:t>、《生理学》等</w:t>
      </w:r>
      <w:r>
        <w:rPr>
          <w:rFonts w:ascii="宋体" w:hAnsi="宋体"/>
          <w:sz w:val="24"/>
        </w:rPr>
        <w:t>专业课程实践教学需要</w:t>
      </w:r>
      <w:r>
        <w:rPr>
          <w:rFonts w:hint="eastAsia" w:ascii="宋体" w:hAnsi="宋体"/>
          <w:sz w:val="24"/>
        </w:rPr>
        <w:t>。</w:t>
      </w:r>
    </w:p>
    <w:p>
      <w:pPr>
        <w:numPr>
          <w:ilvl w:val="0"/>
          <w:numId w:val="1"/>
        </w:numPr>
        <w:rPr>
          <w:rFonts w:ascii="宋体"/>
          <w:sz w:val="24"/>
        </w:rPr>
      </w:pPr>
      <w:r>
        <w:rPr>
          <w:rFonts w:hint="eastAsia"/>
          <w:sz w:val="24"/>
        </w:rPr>
        <w:t>项目从2</w:t>
      </w:r>
      <w:r>
        <w:rPr>
          <w:sz w:val="24"/>
        </w:rPr>
        <w:t>023</w:t>
      </w:r>
      <w:r>
        <w:rPr>
          <w:rFonts w:hint="eastAsia"/>
          <w:sz w:val="24"/>
        </w:rPr>
        <w:t>年设备预算列支，预算合计</w:t>
      </w:r>
      <w:r>
        <w:rPr>
          <w:rFonts w:hint="eastAsia"/>
          <w:sz w:val="24"/>
          <w:lang w:val="en-US" w:eastAsia="zh-CN"/>
        </w:rPr>
        <w:t>***</w:t>
      </w:r>
      <w:r>
        <w:rPr>
          <w:rFonts w:hint="eastAsia"/>
          <w:sz w:val="24"/>
        </w:rPr>
        <w:t>元，明细如下表：</w:t>
      </w:r>
    </w:p>
    <w:tbl>
      <w:tblPr>
        <w:tblStyle w:val="9"/>
        <w:tblW w:w="8424" w:type="dxa"/>
        <w:tblInd w:w="0" w:type="dxa"/>
        <w:tblLayout w:type="fixed"/>
        <w:tblCellMar>
          <w:top w:w="0" w:type="dxa"/>
          <w:left w:w="108" w:type="dxa"/>
          <w:bottom w:w="0" w:type="dxa"/>
          <w:right w:w="108" w:type="dxa"/>
        </w:tblCellMar>
      </w:tblPr>
      <w:tblGrid>
        <w:gridCol w:w="610"/>
        <w:gridCol w:w="1842"/>
        <w:gridCol w:w="709"/>
        <w:gridCol w:w="851"/>
        <w:gridCol w:w="1532"/>
        <w:gridCol w:w="2880"/>
      </w:tblGrid>
      <w:tr>
        <w:tblPrEx>
          <w:tblCellMar>
            <w:top w:w="0" w:type="dxa"/>
            <w:left w:w="108" w:type="dxa"/>
            <w:bottom w:w="0" w:type="dxa"/>
            <w:right w:w="108" w:type="dxa"/>
          </w:tblCellMar>
        </w:tblPrEx>
        <w:trPr>
          <w:trHeight w:val="395" w:hRule="atLeast"/>
        </w:trPr>
        <w:tc>
          <w:tcPr>
            <w:tcW w:w="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设备</w:t>
            </w:r>
            <w:r>
              <w:rPr>
                <w:rFonts w:ascii="宋体" w:hAnsi="宋体" w:cs="宋体"/>
                <w:kern w:val="0"/>
                <w:szCs w:val="21"/>
              </w:rPr>
              <w:t>(</w:t>
            </w:r>
            <w:r>
              <w:rPr>
                <w:rFonts w:hint="eastAsia" w:ascii="宋体" w:hAnsi="宋体" w:cs="宋体"/>
                <w:kern w:val="0"/>
                <w:szCs w:val="21"/>
              </w:rPr>
              <w:t>货物</w:t>
            </w:r>
            <w:r>
              <w:rPr>
                <w:rFonts w:ascii="宋体" w:hAnsi="宋体" w:cs="宋体"/>
                <w:kern w:val="0"/>
                <w:szCs w:val="21"/>
              </w:rPr>
              <w:t>)</w:t>
            </w:r>
            <w:r>
              <w:rPr>
                <w:rFonts w:hint="eastAsia" w:ascii="宋体" w:hAnsi="宋体" w:cs="宋体"/>
                <w:kern w:val="0"/>
                <w:szCs w:val="21"/>
              </w:rPr>
              <w:t>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数量</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单位</w:t>
            </w:r>
          </w:p>
        </w:tc>
        <w:tc>
          <w:tcPr>
            <w:tcW w:w="153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放置位置</w:t>
            </w:r>
          </w:p>
        </w:tc>
        <w:tc>
          <w:tcPr>
            <w:tcW w:w="2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401" w:hRule="atLeast"/>
        </w:trPr>
        <w:tc>
          <w:tcPr>
            <w:tcW w:w="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ascii="宋体" w:hAnsi="宋体" w:cs="宋体"/>
                <w:kern w:val="0"/>
                <w:sz w:val="24"/>
              </w:rPr>
              <w:t>1</w:t>
            </w:r>
          </w:p>
        </w:tc>
        <w:tc>
          <w:tcPr>
            <w:tcW w:w="1842" w:type="dxa"/>
            <w:tcBorders>
              <w:top w:val="single" w:color="auto" w:sz="4" w:space="0"/>
              <w:left w:val="single" w:color="auto" w:sz="4" w:space="0"/>
              <w:bottom w:val="single" w:color="auto" w:sz="4" w:space="0"/>
              <w:right w:val="single" w:color="auto" w:sz="4" w:space="0"/>
            </w:tcBorders>
          </w:tcPr>
          <w:p>
            <w:r>
              <w:rPr>
                <w:rFonts w:hint="eastAsia"/>
              </w:rPr>
              <w:t>虚拟实验仿真教学平台</w:t>
            </w:r>
          </w:p>
        </w:tc>
        <w:tc>
          <w:tcPr>
            <w:tcW w:w="709"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1</w:t>
            </w:r>
          </w:p>
        </w:tc>
        <w:tc>
          <w:tcPr>
            <w:tcW w:w="851"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套</w:t>
            </w:r>
          </w:p>
        </w:tc>
        <w:tc>
          <w:tcPr>
            <w:tcW w:w="1532" w:type="dxa"/>
            <w:tcBorders>
              <w:top w:val="single" w:color="auto" w:sz="4" w:space="0"/>
              <w:left w:val="nil"/>
              <w:bottom w:val="single" w:color="auto" w:sz="4" w:space="0"/>
              <w:right w:val="single" w:color="auto" w:sz="4" w:space="0"/>
            </w:tcBorders>
            <w:vAlign w:val="center"/>
          </w:tcPr>
          <w:p>
            <w:pPr>
              <w:jc w:val="center"/>
              <w:rPr>
                <w:sz w:val="24"/>
              </w:rPr>
            </w:pPr>
            <w:r>
              <w:rPr>
                <w:rFonts w:hint="eastAsia"/>
                <w:sz w:val="24"/>
              </w:rPr>
              <w:t>学校服务器</w:t>
            </w:r>
          </w:p>
        </w:tc>
        <w:tc>
          <w:tcPr>
            <w:tcW w:w="2880" w:type="dxa"/>
            <w:tcBorders>
              <w:top w:val="single" w:color="auto" w:sz="4" w:space="0"/>
              <w:left w:val="nil"/>
              <w:bottom w:val="single" w:color="auto" w:sz="4" w:space="0"/>
              <w:right w:val="single" w:color="auto" w:sz="4" w:space="0"/>
            </w:tcBorders>
            <w:vAlign w:val="center"/>
          </w:tcPr>
          <w:p>
            <w:pPr>
              <w:jc w:val="center"/>
              <w:rPr>
                <w:sz w:val="24"/>
              </w:rPr>
            </w:pPr>
          </w:p>
        </w:tc>
      </w:tr>
    </w:tbl>
    <w:p>
      <w:pPr>
        <w:pStyle w:val="21"/>
        <w:ind w:firstLine="0" w:firstLineChars="0"/>
        <w:rPr>
          <w:rFonts w:ascii="宋体"/>
          <w:sz w:val="24"/>
        </w:rPr>
      </w:pPr>
      <w:r>
        <w:rPr>
          <w:rFonts w:ascii="宋体" w:hAnsi="宋体"/>
          <w:sz w:val="24"/>
        </w:rPr>
        <w:t>5</w:t>
      </w:r>
      <w:r>
        <w:rPr>
          <w:rFonts w:hint="eastAsia" w:ascii="宋体" w:hAnsi="宋体"/>
          <w:sz w:val="24"/>
        </w:rPr>
        <w:t>、供应商需完成如下事项：</w:t>
      </w:r>
    </w:p>
    <w:p>
      <w:pPr>
        <w:pStyle w:val="21"/>
        <w:widowControl/>
        <w:ind w:firstLine="480"/>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）本项目合同需规定供应商于合同签订后</w:t>
      </w:r>
      <w:r>
        <w:rPr>
          <w:rFonts w:ascii="宋体" w:hAnsi="宋体" w:cs="宋体"/>
          <w:kern w:val="0"/>
          <w:sz w:val="24"/>
        </w:rPr>
        <w:t>30</w:t>
      </w:r>
      <w:r>
        <w:rPr>
          <w:rFonts w:hint="eastAsia" w:ascii="宋体" w:hAnsi="宋体" w:cs="宋体"/>
          <w:kern w:val="0"/>
          <w:sz w:val="24"/>
        </w:rPr>
        <w:t>天内完成项目设备的配送、安装、测试及验收工作。</w:t>
      </w:r>
    </w:p>
    <w:p>
      <w:pPr>
        <w:pStyle w:val="21"/>
        <w:ind w:firstLine="480"/>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）供应商报价需包括设备及相关附件的采购、试验、包装、送货、安装、验收、培训、税费、技术服务（包括技术资料的提供）、保修期保障、其它费用等一切支出。</w:t>
      </w:r>
    </w:p>
    <w:p>
      <w:pPr>
        <w:ind w:firstLine="480" w:firstLineChars="200"/>
        <w:jc w:val="left"/>
        <w:rPr>
          <w:rFonts w:ascii="宋体"/>
          <w:b/>
          <w:sz w:val="24"/>
        </w:rPr>
      </w:pPr>
      <w:r>
        <w:rPr>
          <w:rFonts w:hint="eastAsia" w:ascii="宋体" w:hAnsi="宋体"/>
          <w:sz w:val="24"/>
        </w:rPr>
        <w:t>（3）若涉及进口产品需办理免税，供应商报价需含</w:t>
      </w:r>
      <w:r>
        <w:rPr>
          <w:rFonts w:hint="eastAsia" w:ascii="宋体" w:hAnsi="宋体"/>
          <w:color w:val="0000FF"/>
          <w:sz w:val="24"/>
        </w:rPr>
        <w:t>进口代理费及清关杂费等免税价</w:t>
      </w:r>
      <w:r>
        <w:rPr>
          <w:rFonts w:hint="eastAsia" w:ascii="宋体" w:hAnsi="宋体"/>
          <w:color w:val="000000"/>
          <w:sz w:val="24"/>
        </w:rPr>
        <w:t>，所报</w:t>
      </w:r>
      <w:r>
        <w:rPr>
          <w:rFonts w:hint="eastAsia"/>
          <w:bCs/>
          <w:sz w:val="24"/>
        </w:rPr>
        <w:t>货物单价为货物送达甲方指定</w:t>
      </w:r>
      <w:r>
        <w:rPr>
          <w:rFonts w:hint="eastAsia" w:ascii="宋体" w:hAnsi="宋体"/>
          <w:bCs/>
          <w:sz w:val="24"/>
        </w:rPr>
        <w:t>实验室所涉及的所有费用（即CIP方式）。</w:t>
      </w:r>
    </w:p>
    <w:p>
      <w:pPr>
        <w:rPr>
          <w:rFonts w:ascii="宋体"/>
          <w:b/>
          <w:sz w:val="24"/>
        </w:rPr>
      </w:pPr>
      <w:r>
        <w:rPr>
          <w:rFonts w:hint="eastAsia" w:ascii="宋体" w:hAnsi="宋体"/>
          <w:b/>
          <w:sz w:val="24"/>
        </w:rPr>
        <w:t>二、商务需求</w:t>
      </w:r>
    </w:p>
    <w:p>
      <w:pPr>
        <w:rPr>
          <w:rFonts w:ascii="宋体" w:hAnsi="宋体"/>
          <w:sz w:val="24"/>
          <w:highlight w:val="yellow"/>
        </w:rPr>
      </w:pPr>
      <w:r>
        <w:rPr>
          <w:rFonts w:ascii="宋体" w:hAnsi="宋体"/>
          <w:sz w:val="24"/>
        </w:rPr>
        <w:t>1</w:t>
      </w:r>
      <w:r>
        <w:rPr>
          <w:rFonts w:hint="eastAsia" w:ascii="宋体" w:hAnsi="宋体"/>
          <w:sz w:val="24"/>
        </w:rPr>
        <w:t>、对供应商的资格要求：具有履行合同所必需的专业技术、安装能力；具备独立法人资格。</w:t>
      </w:r>
    </w:p>
    <w:p>
      <w:pPr>
        <w:rPr>
          <w:rFonts w:ascii="宋体"/>
          <w:color w:val="FF0000"/>
          <w:sz w:val="24"/>
        </w:rPr>
      </w:pPr>
      <w:r>
        <w:rPr>
          <w:rFonts w:ascii="宋体" w:hAnsi="宋体"/>
          <w:sz w:val="24"/>
        </w:rPr>
        <w:t>2</w:t>
      </w:r>
      <w:r>
        <w:rPr>
          <w:rFonts w:hint="eastAsia" w:ascii="宋体" w:hAnsi="宋体"/>
          <w:sz w:val="24"/>
        </w:rPr>
        <w:t>、</w:t>
      </w:r>
      <w:r>
        <w:rPr>
          <w:rFonts w:hint="eastAsia" w:ascii="宋体" w:hAnsi="宋体" w:cs="Arial"/>
          <w:bCs/>
          <w:szCs w:val="21"/>
        </w:rPr>
        <w:t>★</w:t>
      </w:r>
      <w:r>
        <w:rPr>
          <w:rFonts w:hint="eastAsia" w:ascii="宋体" w:hAnsi="宋体"/>
          <w:sz w:val="24"/>
        </w:rPr>
        <w:t>经销商须出具</w:t>
      </w:r>
      <w:r>
        <w:rPr>
          <w:rFonts w:ascii="宋体" w:hAnsi="宋体"/>
          <w:sz w:val="24"/>
        </w:rPr>
        <w:t>产品</w:t>
      </w:r>
      <w:r>
        <w:rPr>
          <w:rFonts w:hint="eastAsia" w:ascii="宋体" w:hAnsi="宋体"/>
          <w:sz w:val="24"/>
        </w:rPr>
        <w:t>授权原件并提供业绩清单。</w:t>
      </w:r>
    </w:p>
    <w:p>
      <w:pPr>
        <w:ind w:left="360" w:hanging="360" w:hangingChars="150"/>
        <w:rPr>
          <w:rFonts w:ascii="宋体"/>
          <w:sz w:val="24"/>
        </w:rPr>
      </w:pPr>
      <w:r>
        <w:rPr>
          <w:rFonts w:ascii="宋体" w:hAnsi="宋体"/>
          <w:sz w:val="24"/>
        </w:rPr>
        <w:t>3</w:t>
      </w:r>
      <w:r>
        <w:rPr>
          <w:rFonts w:hint="eastAsia" w:ascii="宋体" w:hAnsi="宋体"/>
          <w:sz w:val="24"/>
        </w:rPr>
        <w:t>、提供免费上门进行系统安装调试及技术培训服务；</w:t>
      </w:r>
    </w:p>
    <w:p>
      <w:pPr>
        <w:ind w:left="360" w:hanging="360" w:hangingChars="150"/>
        <w:rPr>
          <w:rFonts w:ascii="宋体"/>
          <w:sz w:val="24"/>
        </w:rPr>
      </w:pPr>
      <w:r>
        <w:rPr>
          <w:rFonts w:ascii="宋体" w:hAnsi="宋体"/>
          <w:sz w:val="24"/>
        </w:rPr>
        <w:t>4</w:t>
      </w:r>
      <w:r>
        <w:rPr>
          <w:rFonts w:hint="eastAsia" w:ascii="宋体" w:hAnsi="宋体"/>
          <w:sz w:val="24"/>
        </w:rPr>
        <w:t>、提供</w:t>
      </w:r>
      <w:r>
        <w:rPr>
          <w:rFonts w:ascii="宋体" w:hAnsi="宋体"/>
          <w:sz w:val="24"/>
        </w:rPr>
        <w:t>2</w:t>
      </w:r>
      <w:r>
        <w:rPr>
          <w:rFonts w:hint="eastAsia" w:ascii="宋体" w:hAnsi="宋体"/>
          <w:sz w:val="24"/>
        </w:rPr>
        <w:t>小时内快速响应的电话技术支持。所有软硬件三年上门保修，</w:t>
      </w:r>
      <w:r>
        <w:rPr>
          <w:rFonts w:ascii="宋体" w:hAnsi="宋体"/>
          <w:sz w:val="24"/>
        </w:rPr>
        <w:t>7*24</w:t>
      </w:r>
      <w:r>
        <w:rPr>
          <w:rFonts w:hint="eastAsia" w:ascii="宋体" w:hAnsi="宋体"/>
          <w:sz w:val="24"/>
        </w:rPr>
        <w:t>响应，最迟第二个工作日上门；</w:t>
      </w:r>
    </w:p>
    <w:p>
      <w:pPr>
        <w:ind w:left="360" w:hanging="360" w:hangingChars="150"/>
        <w:rPr>
          <w:rFonts w:ascii="宋体"/>
          <w:sz w:val="24"/>
        </w:rPr>
      </w:pPr>
      <w:r>
        <w:rPr>
          <w:rFonts w:ascii="宋体" w:hAnsi="宋体"/>
          <w:sz w:val="24"/>
        </w:rPr>
        <w:t>5</w:t>
      </w:r>
      <w:r>
        <w:rPr>
          <w:rFonts w:hint="eastAsia" w:ascii="宋体" w:hAnsi="宋体"/>
          <w:sz w:val="24"/>
        </w:rPr>
        <w:t>、供货方提供</w:t>
      </w:r>
      <w:r>
        <w:rPr>
          <w:rFonts w:ascii="宋体" w:hAnsi="宋体"/>
          <w:sz w:val="24"/>
        </w:rPr>
        <w:t>7</w:t>
      </w:r>
      <w:r>
        <w:rPr>
          <w:rFonts w:hint="eastAsia" w:ascii="宋体" w:hAnsi="宋体"/>
          <w:sz w:val="24"/>
        </w:rPr>
        <w:t>天</w:t>
      </w:r>
      <w:r>
        <w:rPr>
          <w:rFonts w:ascii="宋体" w:hAnsi="宋体"/>
          <w:sz w:val="24"/>
        </w:rPr>
        <w:t>/</w:t>
      </w:r>
      <w:r>
        <w:rPr>
          <w:rFonts w:hint="eastAsia" w:ascii="宋体" w:hAnsi="宋体"/>
          <w:sz w:val="24"/>
        </w:rPr>
        <w:t>周×</w:t>
      </w:r>
      <w:r>
        <w:rPr>
          <w:rFonts w:ascii="宋体" w:hAnsi="宋体"/>
          <w:sz w:val="24"/>
        </w:rPr>
        <w:t>24</w:t>
      </w:r>
      <w:r>
        <w:rPr>
          <w:rFonts w:hint="eastAsia" w:ascii="宋体" w:hAnsi="宋体"/>
          <w:sz w:val="24"/>
        </w:rPr>
        <w:t>小时全天候客户技术支持咨询服务；</w:t>
      </w:r>
    </w:p>
    <w:p>
      <w:pPr>
        <w:ind w:left="360" w:hanging="360" w:hangingChars="150"/>
        <w:rPr>
          <w:rFonts w:ascii="宋体"/>
          <w:sz w:val="24"/>
        </w:rPr>
      </w:pPr>
      <w:r>
        <w:rPr>
          <w:rFonts w:ascii="宋体" w:hAnsi="宋体"/>
          <w:sz w:val="24"/>
        </w:rPr>
        <w:t>6</w:t>
      </w:r>
      <w:r>
        <w:rPr>
          <w:rFonts w:hint="eastAsia" w:ascii="宋体" w:hAnsi="宋体"/>
          <w:sz w:val="24"/>
        </w:rPr>
        <w:t>、货物质量保证期为</w:t>
      </w:r>
      <w:r>
        <w:rPr>
          <w:rFonts w:ascii="宋体" w:hAnsi="宋体"/>
          <w:sz w:val="24"/>
        </w:rPr>
        <w:t>1</w:t>
      </w:r>
      <w:r>
        <w:rPr>
          <w:rFonts w:hint="eastAsia" w:ascii="宋体" w:hAnsi="宋体"/>
          <w:sz w:val="24"/>
        </w:rPr>
        <w:t>年，质量保证期届满后，免费保修期为3年，货物如发生质量问题，供货方提供备件并派员更换以保证本系统能正常工作，全部费用由供货方承担；</w:t>
      </w:r>
    </w:p>
    <w:p>
      <w:pPr>
        <w:ind w:left="360" w:hanging="360" w:hangingChars="150"/>
        <w:rPr>
          <w:rFonts w:ascii="宋体"/>
          <w:sz w:val="24"/>
        </w:rPr>
      </w:pPr>
      <w:r>
        <w:rPr>
          <w:rFonts w:ascii="宋体" w:hAnsi="宋体"/>
          <w:sz w:val="24"/>
        </w:rPr>
        <w:t>7</w:t>
      </w:r>
      <w:r>
        <w:rPr>
          <w:rFonts w:hint="eastAsia" w:ascii="宋体" w:hAnsi="宋体"/>
          <w:sz w:val="24"/>
        </w:rPr>
        <w:t>、在供货方承诺的保修期间外，对所购设备提供终身有偿服务，供货方及时以成本价供应所需的设备零、配件并提供相关维护服务；</w:t>
      </w:r>
    </w:p>
    <w:p>
      <w:pPr>
        <w:ind w:left="360" w:hanging="360" w:hangingChars="150"/>
        <w:rPr>
          <w:rFonts w:ascii="宋体"/>
          <w:sz w:val="24"/>
        </w:rPr>
      </w:pPr>
      <w:r>
        <w:rPr>
          <w:rFonts w:ascii="宋体" w:hAnsi="宋体"/>
          <w:sz w:val="24"/>
        </w:rPr>
        <w:t>8</w:t>
      </w:r>
      <w:r>
        <w:rPr>
          <w:rFonts w:hint="eastAsia" w:ascii="宋体" w:hAnsi="宋体"/>
          <w:sz w:val="24"/>
        </w:rPr>
        <w:t>、合同签字生效后，以甲方发出书面通知之日起，</w:t>
      </w:r>
      <w:r>
        <w:rPr>
          <w:rFonts w:ascii="宋体" w:hAnsi="宋体"/>
          <w:sz w:val="24"/>
        </w:rPr>
        <w:t>30</w:t>
      </w:r>
      <w:r>
        <w:rPr>
          <w:rFonts w:hint="eastAsia" w:ascii="宋体" w:hAnsi="宋体"/>
          <w:sz w:val="24"/>
        </w:rPr>
        <w:t>个日历天内将货物运达目的地并安装完毕；</w:t>
      </w:r>
    </w:p>
    <w:p>
      <w:pPr>
        <w:ind w:left="360" w:hanging="360" w:hangingChars="150"/>
        <w:rPr>
          <w:rFonts w:ascii="宋体"/>
          <w:sz w:val="24"/>
        </w:rPr>
      </w:pPr>
      <w:r>
        <w:rPr>
          <w:rFonts w:ascii="宋体" w:hAnsi="宋体"/>
          <w:sz w:val="24"/>
        </w:rPr>
        <w:t>9</w:t>
      </w:r>
      <w:r>
        <w:rPr>
          <w:rFonts w:hint="eastAsia" w:ascii="宋体" w:hAnsi="宋体"/>
          <w:sz w:val="24"/>
        </w:rPr>
        <w:t>、付款方式：</w:t>
      </w:r>
    </w:p>
    <w:p>
      <w:pPr>
        <w:ind w:left="360" w:hanging="360" w:hangingChars="150"/>
        <w:rPr>
          <w:rFonts w:ascii="宋体"/>
          <w:sz w:val="24"/>
        </w:rPr>
      </w:pPr>
      <w:r>
        <w:rPr>
          <w:rFonts w:hint="eastAsia" w:ascii="宋体" w:hAnsi="宋体"/>
          <w:sz w:val="24"/>
        </w:rPr>
        <w:t>（</w:t>
      </w:r>
      <w:r>
        <w:rPr>
          <w:rFonts w:ascii="宋体" w:hAnsi="宋体"/>
          <w:sz w:val="24"/>
        </w:rPr>
        <w:t>1</w:t>
      </w:r>
      <w:r>
        <w:rPr>
          <w:rFonts w:hint="eastAsia" w:ascii="宋体" w:hAnsi="宋体"/>
          <w:sz w:val="24"/>
        </w:rPr>
        <w:t>）供货安装完工后，甲乙双方办理正式竣工验收及结算手续后，甲方于</w:t>
      </w:r>
      <w:r>
        <w:rPr>
          <w:rFonts w:ascii="宋体" w:hAnsi="宋体"/>
          <w:sz w:val="24"/>
        </w:rPr>
        <w:t>30</w:t>
      </w:r>
      <w:r>
        <w:rPr>
          <w:rFonts w:hint="eastAsia" w:ascii="宋体" w:hAnsi="宋体"/>
          <w:sz w:val="24"/>
        </w:rPr>
        <w:t>个工作日内支付结算款的</w:t>
      </w:r>
      <w:r>
        <w:rPr>
          <w:rFonts w:ascii="宋体" w:hAnsi="宋体"/>
          <w:sz w:val="24"/>
        </w:rPr>
        <w:t>95%</w:t>
      </w:r>
      <w:r>
        <w:rPr>
          <w:rFonts w:hint="eastAsia" w:ascii="宋体" w:hAnsi="宋体"/>
          <w:sz w:val="24"/>
        </w:rPr>
        <w:t>；</w:t>
      </w:r>
    </w:p>
    <w:p>
      <w:pPr>
        <w:ind w:left="360" w:hanging="360" w:hangingChars="15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）余款</w:t>
      </w:r>
      <w:r>
        <w:rPr>
          <w:rFonts w:ascii="宋体" w:hAnsi="宋体"/>
          <w:sz w:val="24"/>
        </w:rPr>
        <w:t>5%</w:t>
      </w:r>
      <w:r>
        <w:rPr>
          <w:rFonts w:hint="eastAsia" w:ascii="宋体" w:hAnsi="宋体"/>
          <w:sz w:val="24"/>
        </w:rPr>
        <w:t>作为质量保证金，甲方在</w:t>
      </w:r>
      <w:r>
        <w:rPr>
          <w:rFonts w:ascii="宋体" w:hAnsi="宋体"/>
          <w:sz w:val="24"/>
        </w:rPr>
        <w:t>1</w:t>
      </w:r>
      <w:r>
        <w:rPr>
          <w:rFonts w:hint="eastAsia" w:ascii="宋体" w:hAnsi="宋体"/>
          <w:sz w:val="24"/>
        </w:rPr>
        <w:t>年产品质量保证期满后</w:t>
      </w:r>
      <w:r>
        <w:rPr>
          <w:rFonts w:ascii="宋体" w:hAnsi="宋体"/>
          <w:sz w:val="24"/>
        </w:rPr>
        <w:t>10</w:t>
      </w:r>
      <w:r>
        <w:rPr>
          <w:rFonts w:hint="eastAsia" w:ascii="宋体" w:hAnsi="宋体"/>
          <w:sz w:val="24"/>
        </w:rPr>
        <w:t>个工作日内无息向乙方结清余下货款。</w:t>
      </w:r>
    </w:p>
    <w:p>
      <w:pPr>
        <w:ind w:left="360" w:hanging="360" w:hangingChars="150"/>
        <w:rPr>
          <w:rFonts w:ascii="宋体" w:hAnsi="宋体"/>
          <w:color w:val="0000FF"/>
          <w:sz w:val="24"/>
        </w:rPr>
      </w:pPr>
      <w:r>
        <w:rPr>
          <w:rFonts w:hint="eastAsia" w:ascii="宋体" w:hAnsi="宋体"/>
          <w:color w:val="0000FF"/>
          <w:sz w:val="24"/>
        </w:rPr>
        <w:t>10、代理费用及清关杂费：</w:t>
      </w:r>
    </w:p>
    <w:p>
      <w:pPr>
        <w:spacing w:line="360" w:lineRule="auto"/>
        <w:ind w:firstLine="480" w:firstLineChars="200"/>
        <w:jc w:val="left"/>
        <w:rPr>
          <w:rFonts w:ascii="Arial" w:cs="Arial"/>
          <w:color w:val="0000FF"/>
          <w:sz w:val="24"/>
        </w:rPr>
      </w:pPr>
      <w:r>
        <w:rPr>
          <w:rFonts w:hint="eastAsia" w:ascii="Arial" w:cs="Arial"/>
          <w:color w:val="0000FF"/>
          <w:sz w:val="24"/>
        </w:rPr>
        <w:t>针对办理免税的进口设备，投标方在报价时需考虑招标方与招标方的代理公司签订代理协议所产生的代理费用（</w:t>
      </w:r>
      <w:r>
        <w:rPr>
          <w:rFonts w:ascii="Arial" w:hAnsi="宋体" w:cs="Arial"/>
          <w:color w:val="0000FF"/>
          <w:sz w:val="24"/>
        </w:rPr>
        <w:t>代理费＝货款（外币）</w:t>
      </w:r>
      <w:r>
        <w:rPr>
          <w:rFonts w:ascii="Arial" w:hAnsi="Arial" w:cs="Arial"/>
          <w:color w:val="0000FF"/>
          <w:sz w:val="24"/>
        </w:rPr>
        <w:t>×</w:t>
      </w:r>
      <w:r>
        <w:rPr>
          <w:rFonts w:ascii="Arial" w:hAnsi="宋体" w:cs="Arial"/>
          <w:color w:val="0000FF"/>
          <w:sz w:val="24"/>
        </w:rPr>
        <w:t>汇率</w:t>
      </w:r>
      <w:r>
        <w:rPr>
          <w:rFonts w:ascii="Arial" w:hAnsi="Arial" w:cs="Arial"/>
          <w:color w:val="0000FF"/>
          <w:sz w:val="24"/>
        </w:rPr>
        <w:t>×</w:t>
      </w:r>
      <w:r>
        <w:rPr>
          <w:rFonts w:hint="eastAsia" w:ascii="Arial" w:hAnsi="Arial" w:cs="Arial"/>
          <w:color w:val="0000FF"/>
          <w:sz w:val="24"/>
        </w:rPr>
        <w:t>1.5</w:t>
      </w:r>
      <w:r>
        <w:rPr>
          <w:rFonts w:ascii="Arial" w:hAnsi="Arial" w:cs="Arial"/>
          <w:color w:val="0000FF"/>
          <w:sz w:val="24"/>
        </w:rPr>
        <w:t>%</w:t>
      </w:r>
      <w:r>
        <w:rPr>
          <w:rFonts w:hint="eastAsia" w:ascii="Arial" w:cs="Arial"/>
          <w:color w:val="0000FF"/>
          <w:sz w:val="24"/>
        </w:rPr>
        <w:t>）和清关杂费（实报实销），在实际操作中，代理费用和清关杂费由中标单位支出。</w:t>
      </w:r>
    </w:p>
    <w:p>
      <w:pPr>
        <w:numPr>
          <w:ilvl w:val="0"/>
          <w:numId w:val="2"/>
        </w:numPr>
        <w:rPr>
          <w:rFonts w:ascii="宋体"/>
          <w:b/>
          <w:sz w:val="24"/>
        </w:rPr>
      </w:pPr>
      <w:r>
        <w:rPr>
          <w:rFonts w:hint="eastAsia" w:ascii="宋体" w:hAnsi="宋体"/>
          <w:b/>
          <w:sz w:val="24"/>
        </w:rPr>
        <w:t>项目技术要求（</w:t>
      </w:r>
      <w:r>
        <w:rPr>
          <w:rFonts w:hint="eastAsia" w:ascii="宋体" w:hAnsi="宋体"/>
          <w:sz w:val="24"/>
        </w:rPr>
        <w:t>设备技术参数</w:t>
      </w:r>
      <w:r>
        <w:rPr>
          <w:rFonts w:ascii="宋体" w:hAnsi="宋体"/>
          <w:sz w:val="24"/>
        </w:rPr>
        <w:t>/</w:t>
      </w:r>
      <w:r>
        <w:rPr>
          <w:rFonts w:hint="eastAsia" w:ascii="宋体" w:hAnsi="宋体"/>
          <w:sz w:val="24"/>
        </w:rPr>
        <w:t>性能要求）</w:t>
      </w:r>
    </w:p>
    <w:tbl>
      <w:tblPr>
        <w:tblStyle w:val="9"/>
        <w:tblW w:w="846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27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adjustRightInd w:val="0"/>
              <w:snapToGrid w:val="0"/>
              <w:jc w:val="center"/>
              <w:rPr>
                <w:rFonts w:ascii="宋体"/>
                <w:b/>
                <w:szCs w:val="21"/>
              </w:rPr>
            </w:pPr>
            <w:r>
              <w:rPr>
                <w:rFonts w:hint="eastAsia" w:ascii="宋体" w:hAnsi="宋体"/>
                <w:b/>
                <w:szCs w:val="21"/>
              </w:rPr>
              <w:t>序号</w:t>
            </w:r>
          </w:p>
        </w:tc>
        <w:tc>
          <w:tcPr>
            <w:tcW w:w="1276" w:type="dxa"/>
            <w:vAlign w:val="center"/>
          </w:tcPr>
          <w:p>
            <w:pPr>
              <w:adjustRightInd w:val="0"/>
              <w:snapToGrid w:val="0"/>
              <w:jc w:val="center"/>
              <w:rPr>
                <w:rFonts w:ascii="宋体"/>
                <w:b/>
                <w:szCs w:val="21"/>
              </w:rPr>
            </w:pPr>
            <w:r>
              <w:rPr>
                <w:rFonts w:hint="eastAsia" w:ascii="宋体" w:hAnsi="宋体"/>
                <w:b/>
                <w:szCs w:val="21"/>
              </w:rPr>
              <w:t>设备名称</w:t>
            </w:r>
          </w:p>
        </w:tc>
        <w:tc>
          <w:tcPr>
            <w:tcW w:w="6662" w:type="dxa"/>
            <w:vAlign w:val="center"/>
          </w:tcPr>
          <w:p>
            <w:pPr>
              <w:adjustRightInd w:val="0"/>
              <w:snapToGrid w:val="0"/>
              <w:jc w:val="center"/>
              <w:rPr>
                <w:rFonts w:ascii="宋体"/>
                <w:b/>
                <w:szCs w:val="21"/>
              </w:rPr>
            </w:pPr>
            <w:r>
              <w:rPr>
                <w:rFonts w:hint="eastAsia" w:ascii="宋体" w:hAnsi="宋体"/>
                <w:b/>
                <w:szCs w:val="21"/>
              </w:rPr>
              <w:t>详细技术参数</w:t>
            </w:r>
            <w:r>
              <w:rPr>
                <w:rFonts w:ascii="宋体" w:hAnsi="宋体"/>
                <w:b/>
                <w:szCs w:val="21"/>
              </w:rPr>
              <w:t>/</w:t>
            </w:r>
            <w:r>
              <w:rPr>
                <w:rFonts w:hint="eastAsia" w:ascii="宋体" w:hAnsi="宋体"/>
                <w:b/>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1" w:type="dxa"/>
            <w:vAlign w:val="center"/>
          </w:tcPr>
          <w:p>
            <w:pPr>
              <w:tabs>
                <w:tab w:val="center" w:pos="245"/>
              </w:tabs>
              <w:adjustRightInd w:val="0"/>
              <w:snapToGrid w:val="0"/>
              <w:jc w:val="center"/>
              <w:rPr>
                <w:rFonts w:ascii="宋体" w:hAnsi="宋体"/>
                <w:szCs w:val="21"/>
              </w:rPr>
            </w:pPr>
            <w:r>
              <w:rPr>
                <w:rFonts w:hint="eastAsia" w:ascii="宋体" w:hAnsi="宋体"/>
                <w:szCs w:val="21"/>
              </w:rPr>
              <w:t>1</w:t>
            </w:r>
          </w:p>
        </w:tc>
        <w:tc>
          <w:tcPr>
            <w:tcW w:w="1276" w:type="dxa"/>
          </w:tcPr>
          <w:p/>
          <w:p/>
          <w:p/>
          <w:p/>
          <w:p/>
          <w:p/>
          <w:p/>
          <w:p>
            <w:r>
              <w:rPr>
                <w:rFonts w:hint="eastAsia" w:ascii="宋体" w:hAnsi="宋体"/>
                <w:bCs/>
                <w:szCs w:val="21"/>
              </w:rPr>
              <w:t>虚拟实验仿真教学平台</w:t>
            </w:r>
          </w:p>
        </w:tc>
        <w:tc>
          <w:tcPr>
            <w:tcW w:w="6662" w:type="dxa"/>
          </w:tcPr>
          <w:p>
            <w:pPr>
              <w:adjustRightInd w:val="0"/>
              <w:snapToGrid w:val="0"/>
              <w:rPr>
                <w:rFonts w:ascii="宋体" w:hAnsi="宋体"/>
                <w:bCs/>
                <w:szCs w:val="21"/>
              </w:rPr>
            </w:pPr>
            <w:r>
              <w:rPr>
                <w:rFonts w:hint="eastAsia" w:ascii="宋体" w:hAnsi="宋体"/>
                <w:bCs/>
                <w:szCs w:val="21"/>
              </w:rPr>
              <w:t>一、虚拟实验仿真教学平台性能指标</w:t>
            </w:r>
          </w:p>
          <w:p>
            <w:pPr>
              <w:adjustRightInd w:val="0"/>
              <w:snapToGrid w:val="0"/>
              <w:rPr>
                <w:rFonts w:ascii="宋体" w:hAnsi="宋体"/>
                <w:bCs/>
                <w:szCs w:val="21"/>
              </w:rPr>
            </w:pPr>
            <w:r>
              <w:rPr>
                <w:rFonts w:hint="eastAsia" w:ascii="宋体" w:hAnsi="宋体"/>
                <w:bCs/>
                <w:szCs w:val="21"/>
              </w:rPr>
              <w:t>虚拟实验教学平台支持多种教学软件，在任意时间，任何空间、任何移动终端上使用；构建资源共建共享、虚实结合、教研一体的教学新模式，理论教学和实践教学相得益章，师生可以便捷应用平台，通过不同终端接入，登陆不同角色便能够使用相应授权范围内的教育资源及教学应用。</w:t>
            </w:r>
          </w:p>
          <w:p>
            <w:pPr>
              <w:adjustRightInd w:val="0"/>
              <w:snapToGrid w:val="0"/>
              <w:rPr>
                <w:rFonts w:ascii="宋体" w:hAnsi="宋体"/>
                <w:bCs/>
                <w:szCs w:val="21"/>
              </w:rPr>
            </w:pPr>
            <w:r>
              <w:rPr>
                <w:rFonts w:hint="eastAsia" w:ascii="宋体" w:hAnsi="宋体"/>
                <w:bCs/>
                <w:szCs w:val="21"/>
              </w:rPr>
              <w:t>管理员维护教学平台的正常使用，对平台具有系统门户管理、人员库管理、公共学习资源管理、公共题库管理、教学计划管理、评教管理、统计平台教学活动管理、资源统计等管理功能；教师可通过平台进行一系列的教学活动，包括发布虚拟学习资源、布置作业、发布理论和技能考试等，还支持个人资源的管理工作，包括私人学习资源管理，私人题库管理等；学生则实现在平台的学习功能，包括虚拟资源学习，考试，提交作业，线上线下师生互动，申请开放性试验，参与评教等。</w:t>
            </w:r>
          </w:p>
          <w:p>
            <w:pPr>
              <w:adjustRightInd w:val="0"/>
              <w:snapToGrid w:val="0"/>
              <w:rPr>
                <w:rFonts w:ascii="宋体" w:hAnsi="宋体"/>
                <w:bCs/>
                <w:szCs w:val="21"/>
              </w:rPr>
            </w:pPr>
            <w:r>
              <w:rPr>
                <w:rFonts w:hint="eastAsia" w:ascii="宋体" w:hAnsi="宋体"/>
                <w:bCs/>
                <w:szCs w:val="21"/>
              </w:rPr>
              <w:t>1、门户网站功能：系统包含一个门户网站，能展示中心介绍、实验教学、实验队伍，相关管理权限能自主发布新闻、公告、通知等信息。新闻、公告等信息按照信息栏目进行组织。信息栏目由用户自定义自维护，可以添加多层次，并支持随意修改组织结构。新闻编辑支持富文本编辑，字体选择、字号选择、对齐、行距等编辑功能，内容支持文本、图片、附件、表格、URL链接等。</w:t>
            </w:r>
          </w:p>
          <w:p>
            <w:pPr>
              <w:adjustRightInd w:val="0"/>
              <w:snapToGrid w:val="0"/>
              <w:rPr>
                <w:rFonts w:ascii="宋体" w:hAnsi="宋体"/>
                <w:bCs/>
                <w:szCs w:val="21"/>
              </w:rPr>
            </w:pPr>
            <w:r>
              <w:rPr>
                <w:rFonts w:hint="eastAsia" w:ascii="宋体" w:hAnsi="宋体"/>
                <w:bCs/>
                <w:szCs w:val="21"/>
              </w:rPr>
              <w:t>信息发布过程必须支持审核功能，只有审核后的信息才能被发布出来。同时，系统需要新闻撰写者和审核人员的信息，供查询。支持图片新闻功能。可以在发布的新闻、公告中，选择一些图片作为图片新闻，在首页中以幻灯片的方式切换播放，并支持点击查看新闻详情。支持图片滚动新闻功能。可以在发布的新闻、公告中，选择一些图片作为滚动新闻，在首页中以跑马灯的形式展现</w:t>
            </w:r>
          </w:p>
          <w:p>
            <w:pPr>
              <w:adjustRightInd w:val="0"/>
              <w:snapToGrid w:val="0"/>
              <w:rPr>
                <w:rFonts w:ascii="宋体" w:hAnsi="宋体"/>
                <w:bCs/>
                <w:szCs w:val="21"/>
              </w:rPr>
            </w:pPr>
            <w:r>
              <w:rPr>
                <w:rFonts w:hint="eastAsia" w:ascii="宋体" w:hAnsi="宋体"/>
                <w:bCs/>
                <w:szCs w:val="21"/>
              </w:rPr>
              <w:t>★2、虚拟实验学习功能：系统兼容多种虚拟资源的学习。至少支持多媒体课件、在线文档课件、标准scorm课件类型。视频课件要求支持播放控制（用于监督记录学生学习状态，监控学生作弊），即，学员不能将播放进度拖动到未观看过的地方，但如果已经学习过的部分，可以随意拖动。每种课件的播放都需要支持对学习进度的跟踪。系统可以统计每位学员对每个课件的学习情况。视频课件支持提问功能，课件管理人员可对视频进行编辑，在视频中插入问答题目，学生在学习时系统会强制要求学生回答问题，系统能记录学生的答题情况。</w:t>
            </w:r>
          </w:p>
          <w:p>
            <w:pPr>
              <w:adjustRightInd w:val="0"/>
              <w:snapToGrid w:val="0"/>
              <w:rPr>
                <w:rFonts w:ascii="宋体" w:hAnsi="宋体"/>
                <w:bCs/>
                <w:szCs w:val="21"/>
              </w:rPr>
            </w:pPr>
            <w:r>
              <w:rPr>
                <w:rFonts w:hint="eastAsia" w:ascii="宋体" w:hAnsi="宋体"/>
                <w:bCs/>
                <w:szCs w:val="21"/>
              </w:rPr>
              <w:t>若scorm课件包含学习报告，可以上传到平台进行查看。</w:t>
            </w:r>
          </w:p>
          <w:p>
            <w:pPr>
              <w:adjustRightInd w:val="0"/>
              <w:snapToGrid w:val="0"/>
              <w:rPr>
                <w:rFonts w:ascii="宋体" w:hAnsi="宋体"/>
                <w:bCs/>
                <w:szCs w:val="21"/>
              </w:rPr>
            </w:pPr>
            <w:r>
              <w:rPr>
                <w:rFonts w:hint="eastAsia" w:ascii="宋体" w:hAnsi="宋体"/>
                <w:bCs/>
                <w:szCs w:val="21"/>
              </w:rPr>
              <w:t>★3、题库功能：系统题库分为2类：理论试题和技能试题。理论试题支持单项选择、多项选择、判断、填空、问答、名词解释、听力7种题型，题面或选项中支持图片、表格等信息。支持单个添加或者批量导入由Word编写的题库。支持按难度进行筛选，支持题目解释。技能试题需要以动画等形式展现虚拟模拟操作。可以设定每个操作步骤的分数，考点等内容，完成教师对学生的实验操作考核。</w:t>
            </w:r>
          </w:p>
          <w:p>
            <w:pPr>
              <w:adjustRightInd w:val="0"/>
              <w:snapToGrid w:val="0"/>
              <w:rPr>
                <w:rFonts w:ascii="宋体" w:hAnsi="宋体"/>
                <w:bCs/>
                <w:szCs w:val="21"/>
              </w:rPr>
            </w:pPr>
            <w:r>
              <w:rPr>
                <w:rFonts w:hint="eastAsia" w:ascii="宋体" w:hAnsi="宋体"/>
                <w:bCs/>
                <w:szCs w:val="21"/>
              </w:rPr>
              <w:t>4、资源分类功能：虚拟实验资源、理论题库和技能题库都需要按照资源分类进行组织。用户可以按照教学要求，自由设置任意级别的学科分类，设置分类顺序，上传分类图标等。系统在展现学习资源、浏览题库时可以方便地通过该分类树进行浏览。对于教师在平台上传的课件和题库，平台支持教师建立私有课件库和考试题库，也可共享到平台公共课件库和公共考试题库，供其他教师使用。</w:t>
            </w:r>
          </w:p>
          <w:p>
            <w:pPr>
              <w:adjustRightInd w:val="0"/>
              <w:snapToGrid w:val="0"/>
              <w:rPr>
                <w:rFonts w:ascii="宋体" w:hAnsi="宋体"/>
                <w:bCs/>
                <w:szCs w:val="21"/>
              </w:rPr>
            </w:pPr>
            <w:r>
              <w:rPr>
                <w:rFonts w:hint="eastAsia" w:ascii="宋体" w:hAnsi="宋体"/>
                <w:bCs/>
                <w:szCs w:val="21"/>
              </w:rPr>
              <w:t>5、教务管理功能：平台支持由管理员按照教学任务创建学期，按照教学计划创建排课表，教师和学生均可在平台查看排课表。管理员可查看正在使用平台的班级，考核班级的学习情况。管理员可通过平台，自定义评教标准，发布评教，及时反馈虚拟实验教学项目的教学效果，对教师、平台使用情况进行评价。</w:t>
            </w:r>
          </w:p>
          <w:p>
            <w:pPr>
              <w:adjustRightInd w:val="0"/>
              <w:snapToGrid w:val="0"/>
              <w:rPr>
                <w:rFonts w:ascii="宋体" w:hAnsi="宋体"/>
                <w:bCs/>
                <w:szCs w:val="21"/>
              </w:rPr>
            </w:pPr>
            <w:r>
              <w:rPr>
                <w:rFonts w:hint="eastAsia" w:ascii="宋体" w:hAnsi="宋体"/>
                <w:bCs/>
                <w:szCs w:val="21"/>
              </w:rPr>
              <w:t xml:space="preserve">6、问卷调查：管理员可通过平台，自定义问卷调查试题，发布问卷调查，平台记录调查结果，并对调查结果统计处理与分析。 </w:t>
            </w:r>
          </w:p>
          <w:p>
            <w:pPr>
              <w:adjustRightInd w:val="0"/>
              <w:snapToGrid w:val="0"/>
              <w:rPr>
                <w:rFonts w:ascii="宋体" w:hAnsi="宋体"/>
                <w:bCs/>
                <w:szCs w:val="21"/>
              </w:rPr>
            </w:pPr>
            <w:r>
              <w:rPr>
                <w:rFonts w:hint="eastAsia" w:ascii="宋体" w:hAnsi="宋体"/>
                <w:bCs/>
                <w:szCs w:val="21"/>
              </w:rPr>
              <w:t>7、考试功能：系统需要支持在线考试功能。考试需要同时支持理论试题和技能试题。支持自动从题库进行组卷，也可以添加新试题。可以对每道题目设置分数。考试支持在线监考。监考员可以随时监视有哪些考生在答卷，哪些考生已经交卷等信息，也可以实时查看考生的答卷，给在线考生发送消息，要求在线考生回答问题等。客观题和模拟技能试题自动批阅。主观题由老师批阅，支持匿名评阅。</w:t>
            </w:r>
          </w:p>
          <w:p>
            <w:pPr>
              <w:adjustRightInd w:val="0"/>
              <w:snapToGrid w:val="0"/>
              <w:rPr>
                <w:rFonts w:ascii="宋体" w:hAnsi="宋体"/>
                <w:bCs/>
                <w:szCs w:val="21"/>
              </w:rPr>
            </w:pPr>
            <w:r>
              <w:rPr>
                <w:rFonts w:hint="eastAsia" w:ascii="宋体" w:hAnsi="宋体"/>
                <w:bCs/>
                <w:szCs w:val="21"/>
              </w:rPr>
              <w:t>考试结束后，支持考试情况分析（学生形成性学习评价分析），可根据用户需求自定义分析类目。</w:t>
            </w:r>
          </w:p>
          <w:p>
            <w:pPr>
              <w:adjustRightInd w:val="0"/>
              <w:snapToGrid w:val="0"/>
              <w:rPr>
                <w:rFonts w:ascii="宋体" w:hAnsi="宋体"/>
                <w:bCs/>
                <w:szCs w:val="21"/>
              </w:rPr>
            </w:pPr>
            <w:r>
              <w:rPr>
                <w:rFonts w:hint="eastAsia" w:ascii="宋体" w:hAnsi="宋体"/>
                <w:bCs/>
                <w:szCs w:val="21"/>
              </w:rPr>
              <w:t>★8、班级管理功能：教师通过后台，进行班级的增加、班级基本信息的输入和编辑，批量导入班级学生，指定课件学习内容，布置作业，批改作业，在线答疑，组织班级考试、统计班级学习情况等操作。管理员可查看班级开展情况。教师可对所在班级学生布置分析讨论题，学生在线提交作业后，教师可在线批阅作业，无需下载，并且平台可永久保存教师的批阅记录。教师可以根据学生的作业以及网络考试来评定每一位学生的学习情况，给出综合评定成绩，并能以Excel形式导出评定结果。</w:t>
            </w:r>
          </w:p>
          <w:p>
            <w:pPr>
              <w:adjustRightInd w:val="0"/>
              <w:snapToGrid w:val="0"/>
              <w:rPr>
                <w:rFonts w:ascii="宋体" w:hAnsi="宋体"/>
                <w:bCs/>
                <w:szCs w:val="21"/>
              </w:rPr>
            </w:pPr>
            <w:r>
              <w:rPr>
                <w:rFonts w:hint="eastAsia" w:ascii="宋体" w:hAnsi="宋体"/>
                <w:bCs/>
                <w:szCs w:val="21"/>
              </w:rPr>
              <w:t>★9、形成性评价：教师可查看开设班级的学生在平台的各种活动情况，并进行统计记录。教师可通过自定义学生课前预习，虚拟实验，作业成绩，考试成绩等四方面的内容在最终评价中所占的比例，最终给出学生在平台使用的评价得分。</w:t>
            </w:r>
          </w:p>
          <w:p>
            <w:pPr>
              <w:adjustRightInd w:val="0"/>
              <w:snapToGrid w:val="0"/>
              <w:rPr>
                <w:rFonts w:ascii="宋体" w:hAnsi="宋体"/>
                <w:bCs/>
                <w:szCs w:val="21"/>
              </w:rPr>
            </w:pPr>
            <w:r>
              <w:rPr>
                <w:rFonts w:hint="eastAsia" w:ascii="宋体" w:hAnsi="宋体"/>
                <w:bCs/>
                <w:szCs w:val="21"/>
              </w:rPr>
              <w:t>★10、学习信息统计功能：管理员可以收集并统计网站访问量，每一位用户对虚拟仿真实验模块的访问情况，同时也可以导出课件访问情况统计表、查看学生课件学习统计报告；教师可以跟踪、统计并打印每一位学生的考试，作业的完成情况，同时查看每一位学生课件学习统计报告；学生可以统计自己对不同仿真实验项目的学习完成情况，可以查询自己成绩。</w:t>
            </w:r>
          </w:p>
          <w:p>
            <w:pPr>
              <w:adjustRightInd w:val="0"/>
              <w:snapToGrid w:val="0"/>
              <w:rPr>
                <w:rFonts w:ascii="宋体" w:hAnsi="宋体"/>
                <w:bCs/>
                <w:szCs w:val="21"/>
              </w:rPr>
            </w:pPr>
            <w:r>
              <w:rPr>
                <w:rFonts w:hint="eastAsia" w:ascii="宋体" w:hAnsi="宋体"/>
                <w:bCs/>
                <w:szCs w:val="21"/>
              </w:rPr>
              <w:t>11、成果展示功能：教师可以自制实验内容，包括交互虚拟仿真Flash动画，ppt或视频等并上传到网站，作为自己科研和教学成果的展示。</w:t>
            </w:r>
          </w:p>
          <w:p>
            <w:pPr>
              <w:adjustRightInd w:val="0"/>
              <w:snapToGrid w:val="0"/>
              <w:rPr>
                <w:rFonts w:ascii="宋体" w:hAnsi="宋体"/>
                <w:bCs/>
                <w:szCs w:val="21"/>
              </w:rPr>
            </w:pPr>
            <w:r>
              <w:rPr>
                <w:rFonts w:hint="eastAsia" w:ascii="宋体" w:hAnsi="宋体"/>
                <w:bCs/>
                <w:szCs w:val="21"/>
              </w:rPr>
              <w:t>12、学生学习笔记功能：每一位学生在学习每一个虚拟实验项目时，都可以按照自己的心得在虚拟仿真实验平台上直接记录学习笔记，学习笔记将长期保存在虚拟仿真实验平台服务器数据库中。学生对课件也能提出自己的建议，教师、管理员能够查看到学生针对每个课件提出的建议。</w:t>
            </w:r>
          </w:p>
          <w:p>
            <w:pPr>
              <w:adjustRightInd w:val="0"/>
              <w:snapToGrid w:val="0"/>
              <w:rPr>
                <w:rFonts w:ascii="宋体" w:hAnsi="宋体"/>
                <w:bCs/>
                <w:szCs w:val="21"/>
              </w:rPr>
            </w:pPr>
            <w:r>
              <w:rPr>
                <w:rFonts w:hint="eastAsia" w:ascii="宋体" w:hAnsi="宋体"/>
                <w:bCs/>
                <w:szCs w:val="21"/>
              </w:rPr>
              <w:t>13、学生网络考试自测功能：学生可以进行网上考试自测，学生选择相应的自测内容，系统根据学生选择的题型，数量和难度等信息自动生成测试试卷，学生马上可以进行网上自测，对于每一道答错的题目，学生可以马上看到错误原因解释，利于加深学生对知识的记忆和理解。</w:t>
            </w:r>
          </w:p>
          <w:p>
            <w:pPr>
              <w:adjustRightInd w:val="0"/>
              <w:snapToGrid w:val="0"/>
              <w:rPr>
                <w:rFonts w:ascii="宋体" w:hAnsi="宋体"/>
                <w:bCs/>
                <w:szCs w:val="21"/>
              </w:rPr>
            </w:pPr>
            <w:r>
              <w:rPr>
                <w:rFonts w:hint="eastAsia" w:ascii="宋体" w:hAnsi="宋体"/>
                <w:bCs/>
                <w:szCs w:val="21"/>
              </w:rPr>
              <w:t>14、实验预约管理功能：教师主导的开放实验预约申请，用于管理实验室开课方案。学生主导的自主创新实验预约申请，学生可以填写实验预约申请，注明所预约实验名称、实验方案、药品、动物、实验地点等基本信息，提交给对应权限的老师和管理员审核。审核通过后，教师根据实验清单提供实验材料，协助学生完成实验。</w:t>
            </w:r>
          </w:p>
          <w:p>
            <w:pPr>
              <w:adjustRightInd w:val="0"/>
              <w:snapToGrid w:val="0"/>
              <w:rPr>
                <w:rFonts w:ascii="宋体" w:hAnsi="宋体"/>
                <w:bCs/>
                <w:szCs w:val="21"/>
              </w:rPr>
            </w:pPr>
            <w:r>
              <w:rPr>
                <w:rFonts w:hint="eastAsia" w:ascii="宋体" w:hAnsi="宋体"/>
                <w:bCs/>
                <w:szCs w:val="21"/>
              </w:rPr>
              <w:t>15、实验设备管理功能：虚拟的实验设备管理仓库，管理员录入设备信息、批号、功能、日期、厂商等内容，存入数据库，对设备的使用情况等进行电子化管理。</w:t>
            </w:r>
          </w:p>
          <w:p>
            <w:pPr>
              <w:adjustRightInd w:val="0"/>
              <w:snapToGrid w:val="0"/>
              <w:rPr>
                <w:rFonts w:ascii="宋体" w:hAnsi="宋体"/>
                <w:bCs/>
                <w:szCs w:val="21"/>
              </w:rPr>
            </w:pPr>
            <w:r>
              <w:rPr>
                <w:rFonts w:hint="eastAsia" w:ascii="宋体" w:hAnsi="宋体"/>
                <w:bCs/>
                <w:szCs w:val="21"/>
              </w:rPr>
              <w:t>16、在线答疑交流功能管理：学生在虚拟实验操作过程中，除了按实验操作指南进行外，也可以通过答疑台接受来自老师的指导。教师也可以通过答疑台与同学互动交流。</w:t>
            </w:r>
          </w:p>
          <w:p>
            <w:pPr>
              <w:adjustRightInd w:val="0"/>
              <w:snapToGrid w:val="0"/>
              <w:rPr>
                <w:rFonts w:ascii="宋体" w:hAnsi="宋体"/>
                <w:bCs/>
                <w:szCs w:val="21"/>
              </w:rPr>
            </w:pPr>
            <w:r>
              <w:rPr>
                <w:rFonts w:hint="eastAsia" w:ascii="宋体" w:hAnsi="宋体"/>
                <w:bCs/>
                <w:szCs w:val="21"/>
              </w:rPr>
              <w:t>17、组织架构管理功能</w:t>
            </w:r>
          </w:p>
          <w:p>
            <w:pPr>
              <w:adjustRightInd w:val="0"/>
              <w:snapToGrid w:val="0"/>
              <w:rPr>
                <w:rFonts w:ascii="宋体" w:hAnsi="宋体"/>
                <w:bCs/>
                <w:szCs w:val="21"/>
              </w:rPr>
            </w:pPr>
            <w:r>
              <w:rPr>
                <w:rFonts w:hint="eastAsia" w:ascii="宋体" w:hAnsi="宋体"/>
                <w:bCs/>
                <w:szCs w:val="21"/>
              </w:rPr>
              <w:t>系统中的所有人员、资源都以组织架构进行组织。系统必须要支持组织架构的多级结构，支持组织架构的用户自定义。即VMC-100下属不同学校分支，每个学校分支下属不同院系，每个院系下属不同实验室，每个实验室下属多种形式虚拟仿真表达。不同组织构架所属管理员拥有不同权限，管理对应的平台功能。</w:t>
            </w:r>
          </w:p>
          <w:p>
            <w:pPr>
              <w:adjustRightInd w:val="0"/>
              <w:snapToGrid w:val="0"/>
              <w:rPr>
                <w:rFonts w:ascii="宋体" w:hAnsi="宋体"/>
                <w:bCs/>
                <w:szCs w:val="21"/>
              </w:rPr>
            </w:pPr>
            <w:r>
              <w:rPr>
                <w:rFonts w:hint="eastAsia" w:ascii="宋体" w:hAnsi="宋体"/>
                <w:bCs/>
                <w:szCs w:val="21"/>
              </w:rPr>
              <w:t>18、用户管理功能：系统主要有3类用户：管理员、教师和学员。系统支持对这3类用户按组织机构的管理。可以单个添加或批量导入用户，可以对用户的相应信息进行修改、维护，支持头像，支持批量导出用户信息。</w:t>
            </w:r>
          </w:p>
          <w:p>
            <w:pPr>
              <w:adjustRightInd w:val="0"/>
              <w:snapToGrid w:val="0"/>
              <w:rPr>
                <w:rFonts w:ascii="宋体" w:hAnsi="宋体"/>
                <w:bCs/>
                <w:szCs w:val="21"/>
              </w:rPr>
            </w:pPr>
            <w:r>
              <w:rPr>
                <w:rFonts w:hint="eastAsia" w:ascii="宋体" w:hAnsi="宋体"/>
                <w:bCs/>
                <w:szCs w:val="21"/>
              </w:rPr>
              <w:t>19、权限功能：系统必须高效支持权限系统自定义功能。所有人员必须要赋予一定角色、权限后才能执行相应的操作。角色包含若干权限，角色可以由用户自定义和配置。角色需要与组织机构挂钩，系统必须支持实现“某人在单位具有执行某操作的权限”这样的语义。</w:t>
            </w:r>
          </w:p>
          <w:p>
            <w:pPr>
              <w:adjustRightInd w:val="0"/>
              <w:snapToGrid w:val="0"/>
              <w:rPr>
                <w:rFonts w:ascii="宋体" w:hAnsi="宋体"/>
                <w:bCs/>
                <w:szCs w:val="21"/>
              </w:rPr>
            </w:pPr>
            <w:r>
              <w:rPr>
                <w:rFonts w:hint="eastAsia" w:ascii="宋体" w:hAnsi="宋体"/>
                <w:bCs/>
                <w:szCs w:val="21"/>
              </w:rPr>
              <w:t>20、分布式资源服务器功能：系统要能够支持分布式的资源服务器，让用户对实验资源的访问分散到资源服务器上，以支撑大量学员对实验资源的并发访问。</w:t>
            </w:r>
          </w:p>
          <w:p>
            <w:pPr>
              <w:adjustRightInd w:val="0"/>
              <w:snapToGrid w:val="0"/>
              <w:rPr>
                <w:rFonts w:ascii="宋体" w:hAnsi="宋体"/>
                <w:bCs/>
                <w:szCs w:val="21"/>
              </w:rPr>
            </w:pPr>
            <w:r>
              <w:rPr>
                <w:rFonts w:hint="eastAsia" w:ascii="宋体" w:hAnsi="宋体"/>
                <w:bCs/>
                <w:szCs w:val="21"/>
              </w:rPr>
              <w:t>21、单点登录：支持统一第三方单点登录对接，免登授权验证接入已有系统。第三方系统通过实现我司提供的API，即可单点登录过来。</w:t>
            </w:r>
          </w:p>
          <w:p>
            <w:pPr>
              <w:adjustRightInd w:val="0"/>
              <w:snapToGrid w:val="0"/>
              <w:rPr>
                <w:rFonts w:ascii="宋体" w:hAnsi="宋体"/>
                <w:bCs/>
                <w:szCs w:val="21"/>
              </w:rPr>
            </w:pPr>
            <w:r>
              <w:rPr>
                <w:rFonts w:hint="eastAsia" w:ascii="宋体" w:hAnsi="宋体"/>
                <w:bCs/>
                <w:szCs w:val="21"/>
              </w:rPr>
              <w:t>★22、安全：采用防XSS攻击算法，过滤xss脚本注入攻击；采用host白名单验证机制，有效防止host伪装攻击；采用改进md5不可逆加密算法，加密关键数据。还有防撞库攻击防御，就是登陆密码输入错误若干次后可以封号。防止用户用工具尝试密码暴力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1" w:type="dxa"/>
            <w:vAlign w:val="center"/>
          </w:tcPr>
          <w:p>
            <w:pPr>
              <w:tabs>
                <w:tab w:val="center" w:pos="245"/>
              </w:tabs>
              <w:adjustRightInd w:val="0"/>
              <w:snapToGrid w:val="0"/>
              <w:jc w:val="center"/>
              <w:rPr>
                <w:rFonts w:ascii="宋体" w:hAnsi="宋体"/>
                <w:szCs w:val="21"/>
              </w:rPr>
            </w:pPr>
            <w:r>
              <w:rPr>
                <w:rFonts w:ascii="宋体" w:hAnsi="宋体"/>
                <w:szCs w:val="21"/>
              </w:rPr>
              <w:t>2</w:t>
            </w:r>
          </w:p>
        </w:tc>
        <w:tc>
          <w:tcPr>
            <w:tcW w:w="1276" w:type="dxa"/>
            <w:vAlign w:val="center"/>
          </w:tcPr>
          <w:p>
            <w:pPr>
              <w:adjustRightInd w:val="0"/>
              <w:snapToGrid w:val="0"/>
              <w:jc w:val="center"/>
              <w:rPr>
                <w:rFonts w:ascii="宋体" w:hAnsi="宋体"/>
                <w:szCs w:val="21"/>
              </w:rPr>
            </w:pPr>
            <w:r>
              <w:rPr>
                <w:rFonts w:hint="eastAsia" w:ascii="宋体" w:hAnsi="宋体"/>
                <w:szCs w:val="21"/>
              </w:rPr>
              <w:t>售后服务</w:t>
            </w:r>
          </w:p>
        </w:tc>
        <w:tc>
          <w:tcPr>
            <w:tcW w:w="6662" w:type="dxa"/>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门到桌安装验机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要求</w:t>
            </w:r>
            <w:r>
              <w:rPr>
                <w:rFonts w:ascii="宋体" w:hAnsi="宋体"/>
                <w:color w:val="000000" w:themeColor="text1"/>
                <w:szCs w:val="21"/>
                <w14:textFill>
                  <w14:solidFill>
                    <w14:schemeClr w14:val="tx1"/>
                  </w14:solidFill>
                </w14:textFill>
              </w:rPr>
              <w:t>7*24</w:t>
            </w:r>
            <w:r>
              <w:rPr>
                <w:rFonts w:hint="eastAsia" w:ascii="宋体" w:hAnsi="宋体"/>
                <w:color w:val="000000" w:themeColor="text1"/>
                <w:szCs w:val="21"/>
                <w14:textFill>
                  <w14:solidFill>
                    <w14:schemeClr w14:val="tx1"/>
                  </w14:solidFill>
                </w14:textFill>
              </w:rPr>
              <w:t>全年无休服务，第二自然日上门，提供门到桌的安装验机服务，厂家在当地有维修站，提供厂家售后服务热线电话</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3年授权维修站免费上门服务，及</w:t>
            </w:r>
            <w:r>
              <w:rPr>
                <w:rFonts w:ascii="宋体" w:hAnsi="宋体"/>
                <w:color w:val="000000" w:themeColor="text1"/>
                <w:szCs w:val="21"/>
                <w14:textFill>
                  <w14:solidFill>
                    <w14:schemeClr w14:val="tx1"/>
                  </w14:solidFill>
                </w14:textFill>
              </w:rPr>
              <w:t>7*24</w:t>
            </w:r>
            <w:r>
              <w:rPr>
                <w:rFonts w:hint="eastAsia" w:ascii="宋体" w:hAnsi="宋体"/>
                <w:color w:val="000000" w:themeColor="text1"/>
                <w:szCs w:val="21"/>
                <w14:textFill>
                  <w14:solidFill>
                    <w14:schemeClr w14:val="tx1"/>
                  </w14:solidFill>
                </w14:textFill>
              </w:rPr>
              <w:t>小时免费</w:t>
            </w:r>
            <w:r>
              <w:rPr>
                <w:rFonts w:ascii="宋体" w:hAnsi="宋体"/>
                <w:color w:val="000000" w:themeColor="text1"/>
                <w:szCs w:val="21"/>
                <w14:textFill>
                  <w14:solidFill>
                    <w14:schemeClr w14:val="tx1"/>
                  </w14:solidFill>
                </w14:textFill>
              </w:rPr>
              <w:t>800/400</w:t>
            </w:r>
            <w:r>
              <w:rPr>
                <w:rFonts w:hint="eastAsia" w:ascii="宋体" w:hAnsi="宋体"/>
                <w:color w:val="000000" w:themeColor="text1"/>
                <w:szCs w:val="21"/>
                <w14:textFill>
                  <w14:solidFill>
                    <w14:schemeClr w14:val="tx1"/>
                  </w14:solidFill>
                </w14:textFill>
              </w:rPr>
              <w:t>技术电话支持。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1" w:type="dxa"/>
            <w:vAlign w:val="center"/>
          </w:tcPr>
          <w:p>
            <w:pPr>
              <w:adjustRightInd w:val="0"/>
              <w:snapToGrid w:val="0"/>
              <w:jc w:val="center"/>
              <w:rPr>
                <w:rFonts w:ascii="宋体" w:hAnsi="宋体"/>
                <w:szCs w:val="21"/>
              </w:rPr>
            </w:pPr>
            <w:r>
              <w:rPr>
                <w:rFonts w:ascii="宋体" w:hAnsi="宋体"/>
                <w:szCs w:val="21"/>
              </w:rPr>
              <w:t>3</w:t>
            </w:r>
          </w:p>
        </w:tc>
        <w:tc>
          <w:tcPr>
            <w:tcW w:w="1276" w:type="dxa"/>
            <w:vAlign w:val="center"/>
          </w:tcPr>
          <w:p>
            <w:pPr>
              <w:adjustRightInd w:val="0"/>
              <w:snapToGrid w:val="0"/>
              <w:jc w:val="center"/>
              <w:rPr>
                <w:rFonts w:ascii="宋体" w:hAnsi="宋体"/>
                <w:szCs w:val="21"/>
              </w:rPr>
            </w:pPr>
            <w:r>
              <w:rPr>
                <w:rFonts w:hint="eastAsia" w:ascii="宋体" w:hAnsi="宋体" w:cs="Arial"/>
                <w:bCs/>
                <w:szCs w:val="21"/>
              </w:rPr>
              <w:t>承诺函★</w:t>
            </w:r>
          </w:p>
        </w:tc>
        <w:tc>
          <w:tcPr>
            <w:tcW w:w="6662" w:type="dxa"/>
            <w:vAlign w:val="center"/>
          </w:tcPr>
          <w:p>
            <w:pPr>
              <w:adjustRightInd w:val="0"/>
              <w:snapToGrid w:val="0"/>
              <w:spacing w:before="100" w:beforeAutospacing="1" w:after="100" w:afterAutospacing="1"/>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供货时提供供应商对此项目的售后服务承诺函；</w:t>
            </w:r>
          </w:p>
        </w:tc>
      </w:tr>
    </w:tbl>
    <w:p>
      <w:pPr>
        <w:rPr>
          <w:b/>
          <w:sz w:val="24"/>
        </w:rPr>
      </w:pPr>
    </w:p>
    <w:p>
      <w:pPr>
        <w:spacing w:line="400" w:lineRule="exact"/>
        <w:rPr>
          <w:rFonts w:ascii="宋体"/>
          <w:b/>
          <w:sz w:val="24"/>
        </w:rPr>
      </w:pPr>
      <w:r>
        <w:rPr>
          <w:rFonts w:hint="eastAsia" w:ascii="宋体" w:hAnsi="宋体"/>
          <w:b/>
          <w:sz w:val="24"/>
        </w:rPr>
        <w:t>四、项目服务要求</w:t>
      </w: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、供应商提供对本项目的免费上门售后服务和服务承诺函服务</w:t>
      </w:r>
      <w:r>
        <w:rPr>
          <w:rFonts w:hint="eastAsia"/>
          <w:color w:val="000000" w:themeColor="text1"/>
          <w:sz w:val="24"/>
          <w:lang w:eastAsia="zh-CN"/>
          <w14:textFill>
            <w14:solidFill>
              <w14:schemeClr w14:val="tx1"/>
            </w14:solidFill>
          </w14:textFill>
        </w:rPr>
        <w:t>：</w:t>
      </w:r>
      <w:r>
        <w:rPr>
          <w:rFonts w:hint="eastAsia"/>
          <w:color w:val="FF0000"/>
          <w:sz w:val="24"/>
          <w:lang w:eastAsia="zh-CN"/>
        </w:rPr>
        <w:t>产品质保期1年（自产品验收合格签字起算），质量保证期到期后，提供不少于3年免费保修服务。</w:t>
      </w:r>
    </w:p>
    <w:p>
      <w:pPr>
        <w:spacing w:line="400" w:lineRule="exact"/>
        <w:rPr>
          <w:sz w:val="24"/>
        </w:rPr>
      </w:pPr>
      <w:r>
        <w:rPr>
          <w:sz w:val="24"/>
        </w:rPr>
        <w:t>2</w:t>
      </w:r>
      <w:r>
        <w:rPr>
          <w:rFonts w:hint="eastAsia"/>
          <w:sz w:val="24"/>
        </w:rPr>
        <w:t>、供应商需为本项目管理人员提供设备维护及管理的培训服务。</w:t>
      </w:r>
    </w:p>
    <w:p>
      <w:pPr>
        <w:spacing w:line="400" w:lineRule="exact"/>
        <w:rPr>
          <w:sz w:val="24"/>
        </w:rPr>
      </w:pPr>
      <w:r>
        <w:rPr>
          <w:sz w:val="24"/>
        </w:rPr>
        <w:t>3</w:t>
      </w:r>
      <w:r>
        <w:rPr>
          <w:rFonts w:hint="eastAsia"/>
          <w:sz w:val="24"/>
        </w:rPr>
        <w:t>、供应商报价需包括设备及相关附件的采购、试验、包装、送货、安装、验收、培训、税费、技术服务（包括技术资料的提供）、保修期保障、其它费用等一切支出。免费保修期届满后，如甲方需要乙方继续提供维护服务，由甲乙双方另行协商。</w:t>
      </w:r>
    </w:p>
    <w:p>
      <w:pPr>
        <w:spacing w:line="400" w:lineRule="exact"/>
        <w:jc w:val="center"/>
        <w:rPr>
          <w:rFonts w:ascii="宋体"/>
          <w:sz w:val="24"/>
        </w:rPr>
      </w:pPr>
      <w:bookmarkStart w:id="0" w:name="_GoBack"/>
      <w:bookmarkEnd w:id="0"/>
      <w:r>
        <w:rPr>
          <w:rFonts w:hint="eastAsia" w:ascii="宋体" w:hAnsi="宋体"/>
          <w:sz w:val="24"/>
        </w:rPr>
        <w:t xml:space="preserve">                                       护理与健康学院</w:t>
      </w:r>
    </w:p>
    <w:p>
      <w:pPr>
        <w:spacing w:line="400" w:lineRule="exact"/>
        <w:jc w:val="center"/>
        <w:rPr>
          <w:rFonts w:ascii="宋体"/>
          <w:sz w:val="24"/>
        </w:rPr>
      </w:pPr>
      <w:r>
        <w:rPr>
          <w:rFonts w:ascii="宋体" w:hAnsi="宋体"/>
          <w:sz w:val="24"/>
        </w:rPr>
        <w:t xml:space="preserve">                                        2022</w:t>
      </w:r>
      <w:r>
        <w:rPr>
          <w:rFonts w:hint="eastAsia" w:ascii="宋体" w:hAnsi="宋体"/>
          <w:sz w:val="24"/>
        </w:rPr>
        <w:t>年</w:t>
      </w:r>
      <w:r>
        <w:rPr>
          <w:rFonts w:ascii="宋体" w:hAnsi="宋体"/>
          <w:sz w:val="24"/>
        </w:rPr>
        <w:t>11</w:t>
      </w:r>
      <w:r>
        <w:rPr>
          <w:rFonts w:hint="eastAsia" w:ascii="宋体" w:hAnsi="宋体"/>
          <w:sz w:val="24"/>
        </w:rPr>
        <w:t>月</w:t>
      </w:r>
      <w:r>
        <w:rPr>
          <w:rFonts w:ascii="宋体" w:hAnsi="宋体"/>
          <w:sz w:val="24"/>
        </w:rPr>
        <w:t>3</w:t>
      </w:r>
      <w:r>
        <w:rPr>
          <w:rFonts w:hint="eastAsia" w:ascii="宋体" w:hAnsi="宋体"/>
          <w:sz w:val="24"/>
        </w:rPr>
        <w:t>日</w:t>
      </w:r>
    </w:p>
    <w:p>
      <w:pPr>
        <w:tabs>
          <w:tab w:val="left" w:pos="720"/>
        </w:tabs>
        <w:rPr>
          <w:rFonts w:asci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Gungsuh">
    <w:altName w:val="Malgun Gothic"/>
    <w:panose1 w:val="00000000000000000000"/>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B4271"/>
    <w:multiLevelType w:val="multilevel"/>
    <w:tmpl w:val="32CB42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8154F8"/>
    <w:multiLevelType w:val="multilevel"/>
    <w:tmpl w:val="358154F8"/>
    <w:lvl w:ilvl="0" w:tentative="0">
      <w:start w:val="3"/>
      <w:numFmt w:val="japaneseCounting"/>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E4287B"/>
    <w:rsid w:val="000045C3"/>
    <w:rsid w:val="00013F31"/>
    <w:rsid w:val="00041BAE"/>
    <w:rsid w:val="00041D94"/>
    <w:rsid w:val="000460B8"/>
    <w:rsid w:val="00047DDB"/>
    <w:rsid w:val="00054EA7"/>
    <w:rsid w:val="00055A7E"/>
    <w:rsid w:val="00067CC6"/>
    <w:rsid w:val="00073710"/>
    <w:rsid w:val="000776A8"/>
    <w:rsid w:val="00080E5C"/>
    <w:rsid w:val="000810D9"/>
    <w:rsid w:val="00084810"/>
    <w:rsid w:val="000D4C33"/>
    <w:rsid w:val="000D5068"/>
    <w:rsid w:val="000D7930"/>
    <w:rsid w:val="000E1429"/>
    <w:rsid w:val="000E62E7"/>
    <w:rsid w:val="00102348"/>
    <w:rsid w:val="00102535"/>
    <w:rsid w:val="00106257"/>
    <w:rsid w:val="00111EDC"/>
    <w:rsid w:val="00112B89"/>
    <w:rsid w:val="001175E9"/>
    <w:rsid w:val="00120479"/>
    <w:rsid w:val="00125AE1"/>
    <w:rsid w:val="00140E01"/>
    <w:rsid w:val="0014612D"/>
    <w:rsid w:val="001624FA"/>
    <w:rsid w:val="00165F7B"/>
    <w:rsid w:val="00166EBE"/>
    <w:rsid w:val="0017079E"/>
    <w:rsid w:val="00173F08"/>
    <w:rsid w:val="00177FC7"/>
    <w:rsid w:val="00181E9A"/>
    <w:rsid w:val="001828B1"/>
    <w:rsid w:val="0018566F"/>
    <w:rsid w:val="0019751D"/>
    <w:rsid w:val="001A2ADF"/>
    <w:rsid w:val="001A2B97"/>
    <w:rsid w:val="001A70E4"/>
    <w:rsid w:val="001B0491"/>
    <w:rsid w:val="001B5B3E"/>
    <w:rsid w:val="001B7817"/>
    <w:rsid w:val="001C4DE1"/>
    <w:rsid w:val="001E092C"/>
    <w:rsid w:val="001E3FCF"/>
    <w:rsid w:val="001F56A1"/>
    <w:rsid w:val="001F76F2"/>
    <w:rsid w:val="00210850"/>
    <w:rsid w:val="00212DCA"/>
    <w:rsid w:val="00213316"/>
    <w:rsid w:val="00215890"/>
    <w:rsid w:val="00221BE4"/>
    <w:rsid w:val="00227C0B"/>
    <w:rsid w:val="00232A42"/>
    <w:rsid w:val="0023673B"/>
    <w:rsid w:val="0024550D"/>
    <w:rsid w:val="00251A66"/>
    <w:rsid w:val="002547B7"/>
    <w:rsid w:val="0026503A"/>
    <w:rsid w:val="002661D4"/>
    <w:rsid w:val="00281B6E"/>
    <w:rsid w:val="0029320F"/>
    <w:rsid w:val="0029555D"/>
    <w:rsid w:val="002A6706"/>
    <w:rsid w:val="002B1568"/>
    <w:rsid w:val="002B2F06"/>
    <w:rsid w:val="002B6A2A"/>
    <w:rsid w:val="002B704D"/>
    <w:rsid w:val="002D47FA"/>
    <w:rsid w:val="002E0181"/>
    <w:rsid w:val="002E262B"/>
    <w:rsid w:val="002E51F7"/>
    <w:rsid w:val="002E6A32"/>
    <w:rsid w:val="002F75A4"/>
    <w:rsid w:val="0030591D"/>
    <w:rsid w:val="003106B0"/>
    <w:rsid w:val="0031333A"/>
    <w:rsid w:val="00314CF9"/>
    <w:rsid w:val="0031644E"/>
    <w:rsid w:val="00324F9B"/>
    <w:rsid w:val="00332BCE"/>
    <w:rsid w:val="00342428"/>
    <w:rsid w:val="00345969"/>
    <w:rsid w:val="00345FE3"/>
    <w:rsid w:val="00346F77"/>
    <w:rsid w:val="003506C2"/>
    <w:rsid w:val="00374150"/>
    <w:rsid w:val="00376DCD"/>
    <w:rsid w:val="00377DA7"/>
    <w:rsid w:val="00380867"/>
    <w:rsid w:val="0038236B"/>
    <w:rsid w:val="003827BE"/>
    <w:rsid w:val="00383663"/>
    <w:rsid w:val="00387683"/>
    <w:rsid w:val="00390598"/>
    <w:rsid w:val="003A6CEA"/>
    <w:rsid w:val="003B12E6"/>
    <w:rsid w:val="003B61C5"/>
    <w:rsid w:val="003B6C68"/>
    <w:rsid w:val="003C7014"/>
    <w:rsid w:val="003D3E79"/>
    <w:rsid w:val="003D4C50"/>
    <w:rsid w:val="003D6DB7"/>
    <w:rsid w:val="003F26D6"/>
    <w:rsid w:val="003F3C84"/>
    <w:rsid w:val="003F4A67"/>
    <w:rsid w:val="003F5699"/>
    <w:rsid w:val="003F5EDE"/>
    <w:rsid w:val="00404F3C"/>
    <w:rsid w:val="0041289A"/>
    <w:rsid w:val="00417D99"/>
    <w:rsid w:val="00420316"/>
    <w:rsid w:val="0042194C"/>
    <w:rsid w:val="004370A9"/>
    <w:rsid w:val="00450B56"/>
    <w:rsid w:val="0045306F"/>
    <w:rsid w:val="00457A13"/>
    <w:rsid w:val="00464CF4"/>
    <w:rsid w:val="00473634"/>
    <w:rsid w:val="004764DD"/>
    <w:rsid w:val="0048698D"/>
    <w:rsid w:val="00486ED3"/>
    <w:rsid w:val="004973BD"/>
    <w:rsid w:val="004A08E4"/>
    <w:rsid w:val="004A4699"/>
    <w:rsid w:val="004B42D1"/>
    <w:rsid w:val="004C00BF"/>
    <w:rsid w:val="004C0BCE"/>
    <w:rsid w:val="004C2B80"/>
    <w:rsid w:val="004D5BCC"/>
    <w:rsid w:val="004E19AF"/>
    <w:rsid w:val="004E273B"/>
    <w:rsid w:val="004F0E03"/>
    <w:rsid w:val="004F6BB2"/>
    <w:rsid w:val="005016DB"/>
    <w:rsid w:val="00502341"/>
    <w:rsid w:val="00502990"/>
    <w:rsid w:val="005167F3"/>
    <w:rsid w:val="00523259"/>
    <w:rsid w:val="00540410"/>
    <w:rsid w:val="00553419"/>
    <w:rsid w:val="005568D9"/>
    <w:rsid w:val="005641EC"/>
    <w:rsid w:val="00570E74"/>
    <w:rsid w:val="005845AC"/>
    <w:rsid w:val="00584851"/>
    <w:rsid w:val="00586296"/>
    <w:rsid w:val="005A14AB"/>
    <w:rsid w:val="005A21FA"/>
    <w:rsid w:val="005A67C2"/>
    <w:rsid w:val="005B4B76"/>
    <w:rsid w:val="005D1E89"/>
    <w:rsid w:val="005D47D0"/>
    <w:rsid w:val="005D6D14"/>
    <w:rsid w:val="005E5513"/>
    <w:rsid w:val="005F10BC"/>
    <w:rsid w:val="005F5621"/>
    <w:rsid w:val="00601D6F"/>
    <w:rsid w:val="006023E7"/>
    <w:rsid w:val="00611270"/>
    <w:rsid w:val="00613885"/>
    <w:rsid w:val="0061523E"/>
    <w:rsid w:val="006236CF"/>
    <w:rsid w:val="006250D7"/>
    <w:rsid w:val="00631ABA"/>
    <w:rsid w:val="00636173"/>
    <w:rsid w:val="00641A90"/>
    <w:rsid w:val="00650C4E"/>
    <w:rsid w:val="0065270B"/>
    <w:rsid w:val="00655872"/>
    <w:rsid w:val="0066141E"/>
    <w:rsid w:val="00671E09"/>
    <w:rsid w:val="00673A24"/>
    <w:rsid w:val="00687AA1"/>
    <w:rsid w:val="00687EAC"/>
    <w:rsid w:val="00692041"/>
    <w:rsid w:val="00695F4F"/>
    <w:rsid w:val="00696272"/>
    <w:rsid w:val="00696CD4"/>
    <w:rsid w:val="006A1EDA"/>
    <w:rsid w:val="006B7F00"/>
    <w:rsid w:val="006C1014"/>
    <w:rsid w:val="006D25A8"/>
    <w:rsid w:val="006D3B41"/>
    <w:rsid w:val="006D6C71"/>
    <w:rsid w:val="006F14ED"/>
    <w:rsid w:val="006F4A9E"/>
    <w:rsid w:val="00707535"/>
    <w:rsid w:val="00707F09"/>
    <w:rsid w:val="00720149"/>
    <w:rsid w:val="00722272"/>
    <w:rsid w:val="00731BF9"/>
    <w:rsid w:val="00740B8F"/>
    <w:rsid w:val="00741BF3"/>
    <w:rsid w:val="00742618"/>
    <w:rsid w:val="007429D4"/>
    <w:rsid w:val="0074761C"/>
    <w:rsid w:val="00747EEF"/>
    <w:rsid w:val="007539F2"/>
    <w:rsid w:val="00761955"/>
    <w:rsid w:val="00782F20"/>
    <w:rsid w:val="00787674"/>
    <w:rsid w:val="0078788F"/>
    <w:rsid w:val="007A59A8"/>
    <w:rsid w:val="007A7B77"/>
    <w:rsid w:val="007B1BBE"/>
    <w:rsid w:val="007B58A4"/>
    <w:rsid w:val="007D14FE"/>
    <w:rsid w:val="007E78E0"/>
    <w:rsid w:val="007F31AD"/>
    <w:rsid w:val="007F4B1D"/>
    <w:rsid w:val="007F7EE5"/>
    <w:rsid w:val="0080240B"/>
    <w:rsid w:val="00820440"/>
    <w:rsid w:val="00833FF9"/>
    <w:rsid w:val="00836B6D"/>
    <w:rsid w:val="008423FE"/>
    <w:rsid w:val="00845585"/>
    <w:rsid w:val="00847389"/>
    <w:rsid w:val="008655D8"/>
    <w:rsid w:val="008750C3"/>
    <w:rsid w:val="00882ED4"/>
    <w:rsid w:val="008902A8"/>
    <w:rsid w:val="008936B4"/>
    <w:rsid w:val="008A0B4E"/>
    <w:rsid w:val="008A3372"/>
    <w:rsid w:val="008A6C86"/>
    <w:rsid w:val="008B1735"/>
    <w:rsid w:val="008B2F3A"/>
    <w:rsid w:val="008C04F4"/>
    <w:rsid w:val="008C3F0B"/>
    <w:rsid w:val="008C4058"/>
    <w:rsid w:val="008D1951"/>
    <w:rsid w:val="008D52CC"/>
    <w:rsid w:val="008D5B2A"/>
    <w:rsid w:val="008E0E13"/>
    <w:rsid w:val="008E5E08"/>
    <w:rsid w:val="008E626F"/>
    <w:rsid w:val="008F2306"/>
    <w:rsid w:val="00900429"/>
    <w:rsid w:val="00905D55"/>
    <w:rsid w:val="00906DB4"/>
    <w:rsid w:val="0091120F"/>
    <w:rsid w:val="00912056"/>
    <w:rsid w:val="00914A2A"/>
    <w:rsid w:val="00915FDF"/>
    <w:rsid w:val="00916033"/>
    <w:rsid w:val="00920A56"/>
    <w:rsid w:val="00922580"/>
    <w:rsid w:val="00933683"/>
    <w:rsid w:val="00940C11"/>
    <w:rsid w:val="0094108A"/>
    <w:rsid w:val="00944044"/>
    <w:rsid w:val="0094694A"/>
    <w:rsid w:val="00952695"/>
    <w:rsid w:val="00954609"/>
    <w:rsid w:val="009664A9"/>
    <w:rsid w:val="00970BC9"/>
    <w:rsid w:val="009769A3"/>
    <w:rsid w:val="00982A32"/>
    <w:rsid w:val="0098545A"/>
    <w:rsid w:val="00985B5B"/>
    <w:rsid w:val="00985CF2"/>
    <w:rsid w:val="00986F8A"/>
    <w:rsid w:val="009A5876"/>
    <w:rsid w:val="009C023F"/>
    <w:rsid w:val="009C04CA"/>
    <w:rsid w:val="009C0724"/>
    <w:rsid w:val="009C2B52"/>
    <w:rsid w:val="009C438B"/>
    <w:rsid w:val="009D37AC"/>
    <w:rsid w:val="009E01BA"/>
    <w:rsid w:val="009E4321"/>
    <w:rsid w:val="009E618C"/>
    <w:rsid w:val="009F4CDB"/>
    <w:rsid w:val="00A006F9"/>
    <w:rsid w:val="00A06559"/>
    <w:rsid w:val="00A17D9B"/>
    <w:rsid w:val="00A36764"/>
    <w:rsid w:val="00A409C0"/>
    <w:rsid w:val="00A50332"/>
    <w:rsid w:val="00A51C36"/>
    <w:rsid w:val="00A6342F"/>
    <w:rsid w:val="00A8017A"/>
    <w:rsid w:val="00A91157"/>
    <w:rsid w:val="00A9261E"/>
    <w:rsid w:val="00AA21A5"/>
    <w:rsid w:val="00AB2EDE"/>
    <w:rsid w:val="00AB40FA"/>
    <w:rsid w:val="00AB460E"/>
    <w:rsid w:val="00AC35B1"/>
    <w:rsid w:val="00AC65B0"/>
    <w:rsid w:val="00AC7066"/>
    <w:rsid w:val="00AD149F"/>
    <w:rsid w:val="00AD58A1"/>
    <w:rsid w:val="00AE064F"/>
    <w:rsid w:val="00AE2BAD"/>
    <w:rsid w:val="00AF0D1B"/>
    <w:rsid w:val="00AF2CF6"/>
    <w:rsid w:val="00AF5133"/>
    <w:rsid w:val="00AF7997"/>
    <w:rsid w:val="00B22647"/>
    <w:rsid w:val="00B27613"/>
    <w:rsid w:val="00B3192B"/>
    <w:rsid w:val="00B329E7"/>
    <w:rsid w:val="00B34FB8"/>
    <w:rsid w:val="00B378F3"/>
    <w:rsid w:val="00B45C7C"/>
    <w:rsid w:val="00B53C9B"/>
    <w:rsid w:val="00B53DBA"/>
    <w:rsid w:val="00B62EF3"/>
    <w:rsid w:val="00B71727"/>
    <w:rsid w:val="00B72866"/>
    <w:rsid w:val="00B7561A"/>
    <w:rsid w:val="00B8140B"/>
    <w:rsid w:val="00BA2B2F"/>
    <w:rsid w:val="00BA6A73"/>
    <w:rsid w:val="00BB4ACC"/>
    <w:rsid w:val="00BB6F96"/>
    <w:rsid w:val="00BC48A0"/>
    <w:rsid w:val="00BC7393"/>
    <w:rsid w:val="00BC76D9"/>
    <w:rsid w:val="00BD5F23"/>
    <w:rsid w:val="00BE6315"/>
    <w:rsid w:val="00BF47E3"/>
    <w:rsid w:val="00C17969"/>
    <w:rsid w:val="00C30BE6"/>
    <w:rsid w:val="00C33CF7"/>
    <w:rsid w:val="00C33FF1"/>
    <w:rsid w:val="00C361E6"/>
    <w:rsid w:val="00C446FC"/>
    <w:rsid w:val="00C55D61"/>
    <w:rsid w:val="00C60FD1"/>
    <w:rsid w:val="00C6337D"/>
    <w:rsid w:val="00C66F1B"/>
    <w:rsid w:val="00C7120D"/>
    <w:rsid w:val="00C82FA5"/>
    <w:rsid w:val="00C90F68"/>
    <w:rsid w:val="00CA6229"/>
    <w:rsid w:val="00CB1A35"/>
    <w:rsid w:val="00CD3CE6"/>
    <w:rsid w:val="00CE4DA1"/>
    <w:rsid w:val="00CF0ED9"/>
    <w:rsid w:val="00D005D0"/>
    <w:rsid w:val="00D06401"/>
    <w:rsid w:val="00D10820"/>
    <w:rsid w:val="00D12C81"/>
    <w:rsid w:val="00D1790C"/>
    <w:rsid w:val="00D33FC0"/>
    <w:rsid w:val="00D345C0"/>
    <w:rsid w:val="00D50B06"/>
    <w:rsid w:val="00D51A69"/>
    <w:rsid w:val="00D61E31"/>
    <w:rsid w:val="00D643DD"/>
    <w:rsid w:val="00D65A3A"/>
    <w:rsid w:val="00D669DA"/>
    <w:rsid w:val="00D722EA"/>
    <w:rsid w:val="00D74D8A"/>
    <w:rsid w:val="00D81F79"/>
    <w:rsid w:val="00D833BE"/>
    <w:rsid w:val="00D853C2"/>
    <w:rsid w:val="00DA58C6"/>
    <w:rsid w:val="00DD576D"/>
    <w:rsid w:val="00DD7643"/>
    <w:rsid w:val="00DE538C"/>
    <w:rsid w:val="00DF1870"/>
    <w:rsid w:val="00DF24C4"/>
    <w:rsid w:val="00E0226F"/>
    <w:rsid w:val="00E063EF"/>
    <w:rsid w:val="00E33D59"/>
    <w:rsid w:val="00E3541B"/>
    <w:rsid w:val="00E4287B"/>
    <w:rsid w:val="00E42D51"/>
    <w:rsid w:val="00E4318C"/>
    <w:rsid w:val="00E4447A"/>
    <w:rsid w:val="00E5690D"/>
    <w:rsid w:val="00E57716"/>
    <w:rsid w:val="00E624D9"/>
    <w:rsid w:val="00E64BE0"/>
    <w:rsid w:val="00E8529F"/>
    <w:rsid w:val="00E909EC"/>
    <w:rsid w:val="00E90EE5"/>
    <w:rsid w:val="00E93BB7"/>
    <w:rsid w:val="00E952C1"/>
    <w:rsid w:val="00EA1B21"/>
    <w:rsid w:val="00EA4787"/>
    <w:rsid w:val="00EB10B8"/>
    <w:rsid w:val="00EB3444"/>
    <w:rsid w:val="00EB75BB"/>
    <w:rsid w:val="00EC1D86"/>
    <w:rsid w:val="00EC60A6"/>
    <w:rsid w:val="00ED08EB"/>
    <w:rsid w:val="00ED5614"/>
    <w:rsid w:val="00EE0367"/>
    <w:rsid w:val="00EE27FF"/>
    <w:rsid w:val="00EF7B24"/>
    <w:rsid w:val="00F15007"/>
    <w:rsid w:val="00F262B4"/>
    <w:rsid w:val="00F2756F"/>
    <w:rsid w:val="00F31BCA"/>
    <w:rsid w:val="00F4522A"/>
    <w:rsid w:val="00F457DD"/>
    <w:rsid w:val="00F463C2"/>
    <w:rsid w:val="00F4755A"/>
    <w:rsid w:val="00F6041A"/>
    <w:rsid w:val="00F64E11"/>
    <w:rsid w:val="00F74451"/>
    <w:rsid w:val="00F84405"/>
    <w:rsid w:val="00F86D2C"/>
    <w:rsid w:val="00FA09BB"/>
    <w:rsid w:val="00FB21D9"/>
    <w:rsid w:val="00FB23D6"/>
    <w:rsid w:val="00FB353D"/>
    <w:rsid w:val="00FB4CFB"/>
    <w:rsid w:val="00FB79A7"/>
    <w:rsid w:val="00FC0FC1"/>
    <w:rsid w:val="00FC1860"/>
    <w:rsid w:val="00FC19D4"/>
    <w:rsid w:val="00FC33F3"/>
    <w:rsid w:val="00FF1595"/>
    <w:rsid w:val="00FF1B34"/>
    <w:rsid w:val="00FF5892"/>
    <w:rsid w:val="00FF77AF"/>
    <w:rsid w:val="01496549"/>
    <w:rsid w:val="0206093C"/>
    <w:rsid w:val="021C44AC"/>
    <w:rsid w:val="03DD111B"/>
    <w:rsid w:val="051769CE"/>
    <w:rsid w:val="066F4C65"/>
    <w:rsid w:val="077D2A36"/>
    <w:rsid w:val="07D86C46"/>
    <w:rsid w:val="0DDC4EB1"/>
    <w:rsid w:val="0E285463"/>
    <w:rsid w:val="0F4C6493"/>
    <w:rsid w:val="0FA6435B"/>
    <w:rsid w:val="10C87DAD"/>
    <w:rsid w:val="10D4516D"/>
    <w:rsid w:val="10DF6DB7"/>
    <w:rsid w:val="11E26A6C"/>
    <w:rsid w:val="121D70A2"/>
    <w:rsid w:val="13FA5F00"/>
    <w:rsid w:val="14045018"/>
    <w:rsid w:val="16C4778B"/>
    <w:rsid w:val="16ED102C"/>
    <w:rsid w:val="1890774A"/>
    <w:rsid w:val="18F23079"/>
    <w:rsid w:val="1B057280"/>
    <w:rsid w:val="1CD54650"/>
    <w:rsid w:val="1E331BF6"/>
    <w:rsid w:val="227E5BEF"/>
    <w:rsid w:val="2326794D"/>
    <w:rsid w:val="236D7A5F"/>
    <w:rsid w:val="252C4574"/>
    <w:rsid w:val="25F4233C"/>
    <w:rsid w:val="26D90ED6"/>
    <w:rsid w:val="281601F4"/>
    <w:rsid w:val="28AD7153"/>
    <w:rsid w:val="29F1738F"/>
    <w:rsid w:val="30BF3803"/>
    <w:rsid w:val="31D40B44"/>
    <w:rsid w:val="32D80F0B"/>
    <w:rsid w:val="338C16E2"/>
    <w:rsid w:val="36B3501F"/>
    <w:rsid w:val="37DE21AC"/>
    <w:rsid w:val="39495B34"/>
    <w:rsid w:val="39FC68CD"/>
    <w:rsid w:val="3A35090C"/>
    <w:rsid w:val="3AE752A8"/>
    <w:rsid w:val="3B17620D"/>
    <w:rsid w:val="3CD5525A"/>
    <w:rsid w:val="3DD42EC3"/>
    <w:rsid w:val="3DDE5218"/>
    <w:rsid w:val="4056369E"/>
    <w:rsid w:val="408B2EAB"/>
    <w:rsid w:val="40F46D4D"/>
    <w:rsid w:val="451D0018"/>
    <w:rsid w:val="46366D4E"/>
    <w:rsid w:val="46460B0A"/>
    <w:rsid w:val="492D5DB3"/>
    <w:rsid w:val="49D34E5B"/>
    <w:rsid w:val="4A796961"/>
    <w:rsid w:val="4C20336A"/>
    <w:rsid w:val="4D700CA0"/>
    <w:rsid w:val="4E1748F1"/>
    <w:rsid w:val="4E35303E"/>
    <w:rsid w:val="4EE43714"/>
    <w:rsid w:val="4FB30924"/>
    <w:rsid w:val="518B7EA1"/>
    <w:rsid w:val="51E11DEA"/>
    <w:rsid w:val="534742E5"/>
    <w:rsid w:val="538D7F3F"/>
    <w:rsid w:val="558C5791"/>
    <w:rsid w:val="562F0B08"/>
    <w:rsid w:val="57A03773"/>
    <w:rsid w:val="593D33DC"/>
    <w:rsid w:val="5AE06A2A"/>
    <w:rsid w:val="5B676739"/>
    <w:rsid w:val="5CBC7AF4"/>
    <w:rsid w:val="5F9400CE"/>
    <w:rsid w:val="60070D50"/>
    <w:rsid w:val="60F30830"/>
    <w:rsid w:val="621B3F47"/>
    <w:rsid w:val="635005D0"/>
    <w:rsid w:val="666F1301"/>
    <w:rsid w:val="67620FE6"/>
    <w:rsid w:val="677921ED"/>
    <w:rsid w:val="69582E0E"/>
    <w:rsid w:val="696A78BD"/>
    <w:rsid w:val="6AA139D6"/>
    <w:rsid w:val="6C0C24FD"/>
    <w:rsid w:val="6C7011BC"/>
    <w:rsid w:val="6E3E0A13"/>
    <w:rsid w:val="6E8923B6"/>
    <w:rsid w:val="6FE824F1"/>
    <w:rsid w:val="70A73130"/>
    <w:rsid w:val="72FB3F0C"/>
    <w:rsid w:val="748F1601"/>
    <w:rsid w:val="74BD53BB"/>
    <w:rsid w:val="74FA55AD"/>
    <w:rsid w:val="769A6D0C"/>
    <w:rsid w:val="77586D5D"/>
    <w:rsid w:val="77EF50DF"/>
    <w:rsid w:val="7A0F7C87"/>
    <w:rsid w:val="7D6F4EFB"/>
    <w:rsid w:val="7DCD3B10"/>
    <w:rsid w:val="7FD911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locked/>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ocument Map"/>
    <w:basedOn w:val="1"/>
    <w:link w:val="20"/>
    <w:semiHidden/>
    <w:uiPriority w:val="99"/>
    <w:rPr>
      <w:rFonts w:ascii="宋体"/>
      <w:sz w:val="18"/>
      <w:szCs w:val="18"/>
    </w:rPr>
  </w:style>
  <w:style w:type="paragraph" w:styleId="4">
    <w:name w:val="annotation text"/>
    <w:basedOn w:val="1"/>
    <w:link w:val="25"/>
    <w:semiHidden/>
    <w:unhideWhenUsed/>
    <w:uiPriority w:val="99"/>
    <w:pPr>
      <w:jc w:val="left"/>
    </w:pPr>
  </w:style>
  <w:style w:type="paragraph" w:styleId="5">
    <w:name w:val="Balloon Text"/>
    <w:basedOn w:val="1"/>
    <w:link w:val="24"/>
    <w:semiHidden/>
    <w:unhideWhenUsed/>
    <w:uiPriority w:val="99"/>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6"/>
    <w:semiHidden/>
    <w:unhideWhenUsed/>
    <w:qFormat/>
    <w:uiPriority w:val="99"/>
    <w:rPr>
      <w:b/>
      <w:bCs/>
    </w:rPr>
  </w:style>
  <w:style w:type="character" w:styleId="11">
    <w:name w:val="Hyperlink"/>
    <w:uiPriority w:val="99"/>
    <w:rPr>
      <w:rFonts w:cs="Times New Roman"/>
      <w:color w:val="0000FF"/>
      <w:u w:val="single"/>
    </w:rPr>
  </w:style>
  <w:style w:type="character" w:styleId="12">
    <w:name w:val="annotation reference"/>
    <w:basedOn w:val="10"/>
    <w:semiHidden/>
    <w:unhideWhenUsed/>
    <w:uiPriority w:val="99"/>
    <w:rPr>
      <w:sz w:val="21"/>
      <w:szCs w:val="21"/>
    </w:rPr>
  </w:style>
  <w:style w:type="paragraph" w:customStyle="1" w:styleId="13">
    <w:name w:val="Char Char Char Char Char Char"/>
    <w:basedOn w:val="1"/>
    <w:uiPriority w:val="99"/>
    <w:pPr>
      <w:widowControl/>
      <w:spacing w:after="160" w:line="240" w:lineRule="exact"/>
      <w:jc w:val="left"/>
    </w:pPr>
    <w:rPr>
      <w:rFonts w:ascii="Verdana" w:hAnsi="Verdana" w:eastAsia="仿宋_GB2312"/>
      <w:kern w:val="0"/>
      <w:sz w:val="24"/>
      <w:szCs w:val="20"/>
      <w:lang w:eastAsia="en-US"/>
    </w:rPr>
  </w:style>
  <w:style w:type="character" w:customStyle="1" w:styleId="14">
    <w:name w:val="页眉 字符"/>
    <w:link w:val="7"/>
    <w:semiHidden/>
    <w:locked/>
    <w:uiPriority w:val="99"/>
    <w:rPr>
      <w:rFonts w:cs="Times New Roman"/>
      <w:kern w:val="2"/>
      <w:sz w:val="18"/>
    </w:rPr>
  </w:style>
  <w:style w:type="character" w:customStyle="1" w:styleId="15">
    <w:name w:val="页脚 字符"/>
    <w:link w:val="6"/>
    <w:locked/>
    <w:uiPriority w:val="99"/>
    <w:rPr>
      <w:rFonts w:cs="Times New Roman"/>
      <w:kern w:val="2"/>
      <w:sz w:val="18"/>
    </w:rPr>
  </w:style>
  <w:style w:type="paragraph" w:customStyle="1" w:styleId="16">
    <w:name w:val="样式1 Char Char"/>
    <w:basedOn w:val="1"/>
    <w:next w:val="1"/>
    <w:link w:val="17"/>
    <w:uiPriority w:val="99"/>
    <w:pPr>
      <w:spacing w:line="360" w:lineRule="auto"/>
      <w:ind w:firstLine="516" w:firstLineChars="215"/>
    </w:pPr>
    <w:rPr>
      <w:sz w:val="24"/>
      <w:szCs w:val="20"/>
    </w:rPr>
  </w:style>
  <w:style w:type="character" w:customStyle="1" w:styleId="17">
    <w:name w:val="样式1 Char Char Char"/>
    <w:link w:val="16"/>
    <w:locked/>
    <w:uiPriority w:val="99"/>
    <w:rPr>
      <w:rFonts w:eastAsia="宋体"/>
      <w:kern w:val="2"/>
      <w:sz w:val="24"/>
      <w:lang w:val="en-US" w:eastAsia="zh-CN"/>
    </w:rPr>
  </w:style>
  <w:style w:type="paragraph" w:customStyle="1" w:styleId="18">
    <w:name w:val="样式1"/>
    <w:basedOn w:val="1"/>
    <w:qFormat/>
    <w:uiPriority w:val="99"/>
    <w:pPr>
      <w:spacing w:line="360" w:lineRule="auto"/>
    </w:pPr>
    <w:rPr>
      <w:rFonts w:ascii="Gungsuh" w:hAnsi="Gungsuh" w:cs="宋体"/>
      <w:kern w:val="0"/>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文档结构图 字符"/>
    <w:link w:val="3"/>
    <w:semiHidden/>
    <w:locked/>
    <w:uiPriority w:val="99"/>
    <w:rPr>
      <w:rFonts w:ascii="宋体" w:cs="Times New Roman"/>
      <w:kern w:val="2"/>
      <w:sz w:val="18"/>
    </w:rPr>
  </w:style>
  <w:style w:type="paragraph" w:styleId="21">
    <w:name w:val="List Paragraph"/>
    <w:basedOn w:val="1"/>
    <w:qFormat/>
    <w:uiPriority w:val="99"/>
    <w:pPr>
      <w:ind w:firstLine="420" w:firstLineChars="200"/>
    </w:pPr>
  </w:style>
  <w:style w:type="paragraph" w:customStyle="1" w:styleId="2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
    <w:name w:val="标题 1 字符"/>
    <w:link w:val="2"/>
    <w:uiPriority w:val="0"/>
    <w:rPr>
      <w:b/>
      <w:bCs/>
      <w:kern w:val="44"/>
      <w:sz w:val="44"/>
      <w:szCs w:val="44"/>
    </w:rPr>
  </w:style>
  <w:style w:type="character" w:customStyle="1" w:styleId="24">
    <w:name w:val="批注框文本 字符"/>
    <w:link w:val="5"/>
    <w:semiHidden/>
    <w:uiPriority w:val="99"/>
    <w:rPr>
      <w:kern w:val="2"/>
      <w:sz w:val="18"/>
      <w:szCs w:val="18"/>
    </w:rPr>
  </w:style>
  <w:style w:type="character" w:customStyle="1" w:styleId="25">
    <w:name w:val="批注文字 字符"/>
    <w:basedOn w:val="10"/>
    <w:link w:val="4"/>
    <w:semiHidden/>
    <w:uiPriority w:val="99"/>
    <w:rPr>
      <w:kern w:val="2"/>
      <w:sz w:val="21"/>
      <w:szCs w:val="24"/>
    </w:rPr>
  </w:style>
  <w:style w:type="character" w:customStyle="1" w:styleId="26">
    <w:name w:val="批注主题 字符"/>
    <w:basedOn w:val="25"/>
    <w:link w:val="8"/>
    <w:semiHidden/>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C13C9-2AC4-41F2-9F79-9BCD912FAAA1}">
  <ds:schemaRefs/>
</ds:datastoreItem>
</file>

<file path=docProps/app.xml><?xml version="1.0" encoding="utf-8"?>
<Properties xmlns="http://schemas.openxmlformats.org/officeDocument/2006/extended-properties" xmlns:vt="http://schemas.openxmlformats.org/officeDocument/2006/docPropsVTypes">
  <Template>Normal</Template>
  <Company>GPMOMZ</Company>
  <Pages>4</Pages>
  <Words>4657</Words>
  <Characters>4754</Characters>
  <Lines>2</Lines>
  <Paragraphs>9</Paragraphs>
  <TotalTime>7031</TotalTime>
  <ScaleCrop>false</ScaleCrop>
  <LinksUpToDate>false</LinksUpToDate>
  <CharactersWithSpaces>4834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2019-12-27T10:44:00Z</dcterms:created>
  <dc:creator>Administrator</dc:creator>
  <cp:lastModifiedBy>Pc</cp:lastModifiedBy>
  <cp:lastPrinted>2018-10-26T01:41:00Z</cp:lastPrinted>
  <dcterms:modified xsi:type="dcterms:W3CDTF">2023-07-05T08:41:48Z</dcterms:modified>
  <dc:title>货物类采购项目用户需求书内容（通用类）</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772884A653344E73892773F8BFA8047B_13</vt:lpwstr>
  </property>
</Properties>
</file>