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r>
        <w:rPr>
          <w:rFonts w:hint="eastAsia" w:ascii="仿宋" w:hAnsi="仿宋" w:eastAsia="仿宋" w:cs="仿宋"/>
          <w:b/>
          <w:bCs/>
          <w:kern w:val="0"/>
          <w:sz w:val="52"/>
          <w:szCs w:val="52"/>
          <w:lang w:bidi="ar"/>
        </w:rPr>
        <w:t>广州南方学院造价咨询服务</w:t>
      </w:r>
    </w:p>
    <w:p>
      <w:pPr>
        <w:widowControl/>
        <w:jc w:val="center"/>
        <w:rPr>
          <w:rFonts w:ascii="仿宋" w:hAnsi="仿宋" w:eastAsia="仿宋" w:cs="仿宋"/>
          <w:b/>
          <w:bCs/>
          <w:kern w:val="0"/>
          <w:sz w:val="52"/>
          <w:szCs w:val="52"/>
          <w:lang w:bidi="ar"/>
        </w:rPr>
      </w:pPr>
      <w:r>
        <w:rPr>
          <w:rFonts w:hint="eastAsia" w:ascii="仿宋" w:hAnsi="仿宋" w:eastAsia="仿宋" w:cs="仿宋"/>
          <w:b/>
          <w:bCs/>
          <w:kern w:val="0"/>
          <w:sz w:val="52"/>
          <w:szCs w:val="52"/>
          <w:lang w:bidi="ar"/>
        </w:rPr>
        <w:t>采购需求书</w:t>
      </w:r>
    </w:p>
    <w:p>
      <w:pPr>
        <w:widowControl/>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center"/>
        <w:rPr>
          <w:rFonts w:ascii="仿宋" w:hAnsi="仿宋" w:eastAsia="仿宋" w:cs="仿宋"/>
          <w:b/>
          <w:bCs/>
          <w:kern w:val="0"/>
          <w:sz w:val="52"/>
          <w:szCs w:val="52"/>
          <w:lang w:bidi="ar"/>
        </w:rPr>
      </w:pPr>
    </w:p>
    <w:p>
      <w:pPr>
        <w:widowControl/>
        <w:jc w:val="left"/>
        <w:rPr>
          <w:rFonts w:ascii="仿宋" w:hAnsi="仿宋" w:eastAsia="仿宋" w:cs="仿宋"/>
          <w:b/>
          <w:bCs/>
          <w:kern w:val="0"/>
          <w:sz w:val="28"/>
          <w:szCs w:val="28"/>
          <w:lang w:bidi="ar"/>
        </w:rPr>
      </w:pPr>
    </w:p>
    <w:p>
      <w:pPr>
        <w:widowControl/>
        <w:ind w:left="1964" w:leftChars="266" w:hanging="1405" w:hangingChars="500"/>
        <w:jc w:val="left"/>
        <w:rPr>
          <w:rFonts w:ascii="仿宋" w:hAnsi="仿宋" w:eastAsia="仿宋" w:cs="仿宋"/>
          <w:b/>
          <w:bCs/>
          <w:kern w:val="0"/>
          <w:sz w:val="28"/>
          <w:szCs w:val="28"/>
          <w:lang w:bidi="ar"/>
        </w:rPr>
      </w:pPr>
    </w:p>
    <w:p>
      <w:pPr>
        <w:widowControl/>
        <w:ind w:left="1964" w:leftChars="266" w:hanging="1405" w:hangingChars="500"/>
        <w:jc w:val="left"/>
        <w:rPr>
          <w:rFonts w:ascii="仿宋" w:hAnsi="仿宋" w:eastAsia="仿宋" w:cs="仿宋"/>
          <w:b/>
          <w:bCs/>
          <w:kern w:val="0"/>
          <w:sz w:val="28"/>
          <w:szCs w:val="28"/>
          <w:lang w:bidi="ar"/>
        </w:rPr>
      </w:pPr>
    </w:p>
    <w:p>
      <w:pPr>
        <w:widowControl/>
        <w:ind w:left="1964" w:leftChars="266" w:hanging="1405" w:hangingChars="500"/>
        <w:jc w:val="left"/>
        <w:rPr>
          <w:rFonts w:ascii="仿宋" w:hAnsi="仿宋" w:eastAsia="仿宋" w:cs="仿宋"/>
          <w:b/>
          <w:bCs/>
          <w:kern w:val="0"/>
          <w:sz w:val="28"/>
          <w:szCs w:val="28"/>
          <w:lang w:bidi="ar"/>
        </w:rPr>
      </w:pPr>
    </w:p>
    <w:p>
      <w:pPr>
        <w:widowControl/>
        <w:ind w:left="1964" w:leftChars="266" w:hanging="1405" w:hangingChars="5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项目名称:广州南方学院</w:t>
      </w:r>
      <w:r>
        <w:rPr>
          <w:rFonts w:ascii="仿宋" w:hAnsi="仿宋" w:eastAsia="仿宋" w:cs="仿宋"/>
          <w:b/>
          <w:bCs/>
          <w:kern w:val="0"/>
          <w:sz w:val="28"/>
          <w:szCs w:val="28"/>
          <w:lang w:bidi="ar"/>
        </w:rPr>
        <w:t>2023年度造价咨询服务</w:t>
      </w:r>
    </w:p>
    <w:p>
      <w:pPr>
        <w:widowControl/>
        <w:ind w:firstLine="562" w:firstLineChars="200"/>
        <w:jc w:val="left"/>
        <w:rPr>
          <w:rFonts w:ascii="仿宋" w:hAnsi="仿宋" w:eastAsia="仿宋" w:cs="仿宋"/>
        </w:rPr>
      </w:pPr>
      <w:r>
        <w:rPr>
          <w:rFonts w:hint="eastAsia" w:ascii="仿宋" w:hAnsi="仿宋" w:eastAsia="仿宋" w:cs="仿宋"/>
          <w:b/>
          <w:bCs/>
          <w:kern w:val="0"/>
          <w:sz w:val="28"/>
          <w:szCs w:val="28"/>
          <w:lang w:bidi="ar"/>
        </w:rPr>
        <w:t>编制单位:总务处、后勤集团</w:t>
      </w:r>
    </w:p>
    <w:p>
      <w:pPr>
        <w:widowControl/>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编制时间：202</w:t>
      </w:r>
      <w:r>
        <w:rPr>
          <w:rFonts w:ascii="仿宋" w:hAnsi="仿宋" w:eastAsia="仿宋" w:cs="仿宋"/>
          <w:b/>
          <w:bCs/>
          <w:kern w:val="0"/>
          <w:sz w:val="28"/>
          <w:szCs w:val="28"/>
          <w:lang w:bidi="ar"/>
        </w:rPr>
        <w:t>3</w:t>
      </w:r>
      <w:r>
        <w:rPr>
          <w:rFonts w:hint="eastAsia" w:ascii="仿宋" w:hAnsi="仿宋" w:eastAsia="仿宋" w:cs="仿宋"/>
          <w:b/>
          <w:bCs/>
          <w:kern w:val="0"/>
          <w:sz w:val="28"/>
          <w:szCs w:val="28"/>
          <w:lang w:bidi="ar"/>
        </w:rPr>
        <w:t>年3月2</w:t>
      </w:r>
      <w:r>
        <w:rPr>
          <w:rFonts w:ascii="仿宋" w:hAnsi="仿宋" w:eastAsia="仿宋" w:cs="仿宋"/>
          <w:b/>
          <w:bCs/>
          <w:kern w:val="0"/>
          <w:sz w:val="28"/>
          <w:szCs w:val="28"/>
          <w:lang w:bidi="ar"/>
        </w:rPr>
        <w:t>0</w:t>
      </w:r>
      <w:r>
        <w:rPr>
          <w:rFonts w:hint="eastAsia" w:ascii="仿宋" w:hAnsi="仿宋" w:eastAsia="仿宋" w:cs="仿宋"/>
          <w:b/>
          <w:bCs/>
          <w:kern w:val="0"/>
          <w:sz w:val="28"/>
          <w:szCs w:val="28"/>
          <w:lang w:bidi="ar"/>
        </w:rPr>
        <w:t>日</w:t>
      </w:r>
    </w:p>
    <w:p>
      <w:pPr>
        <w:outlineLvl w:val="1"/>
        <w:rPr>
          <w:rFonts w:ascii="仿宋" w:hAnsi="仿宋" w:eastAsia="仿宋" w:cs="仿宋"/>
          <w:b/>
          <w:bCs/>
          <w:sz w:val="32"/>
          <w:szCs w:val="32"/>
        </w:rPr>
      </w:pPr>
      <w:bookmarkStart w:id="0" w:name="_Toc29791"/>
      <w:r>
        <w:rPr>
          <w:rFonts w:hint="eastAsia" w:ascii="仿宋" w:hAnsi="仿宋" w:eastAsia="仿宋" w:cs="仿宋"/>
          <w:b/>
          <w:bCs/>
          <w:sz w:val="32"/>
          <w:szCs w:val="32"/>
        </w:rPr>
        <w:t>一、项目名称及内容</w:t>
      </w:r>
      <w:bookmarkEnd w:id="0"/>
    </w:p>
    <w:p>
      <w:pPr>
        <w:rPr>
          <w:rFonts w:ascii="仿宋" w:hAnsi="仿宋" w:eastAsia="仿宋" w:cs="仿宋"/>
          <w:sz w:val="28"/>
          <w:szCs w:val="28"/>
        </w:rPr>
      </w:pPr>
      <w:r>
        <w:rPr>
          <w:rFonts w:hint="eastAsia" w:ascii="仿宋" w:hAnsi="仿宋" w:eastAsia="仿宋" w:cs="仿宋"/>
          <w:b/>
          <w:bCs/>
          <w:sz w:val="28"/>
          <w:szCs w:val="28"/>
        </w:rPr>
        <w:t>1.1 项目名称</w:t>
      </w:r>
      <w:r>
        <w:rPr>
          <w:rFonts w:hint="eastAsia" w:ascii="仿宋" w:hAnsi="仿宋" w:eastAsia="仿宋" w:cs="仿宋"/>
          <w:sz w:val="28"/>
          <w:szCs w:val="28"/>
        </w:rPr>
        <w:t>：广州南方学院</w:t>
      </w:r>
      <w:r>
        <w:rPr>
          <w:rFonts w:ascii="仿宋" w:hAnsi="仿宋" w:eastAsia="仿宋" w:cs="仿宋"/>
          <w:sz w:val="28"/>
          <w:szCs w:val="28"/>
        </w:rPr>
        <w:t>2023年度造价咨询服务</w:t>
      </w:r>
    </w:p>
    <w:p>
      <w:pPr>
        <w:rPr>
          <w:rFonts w:ascii="仿宋" w:hAnsi="仿宋" w:eastAsia="仿宋" w:cs="仿宋"/>
          <w:sz w:val="28"/>
          <w:szCs w:val="28"/>
        </w:rPr>
      </w:pPr>
      <w:r>
        <w:rPr>
          <w:rFonts w:hint="eastAsia" w:ascii="仿宋" w:hAnsi="仿宋" w:eastAsia="仿宋" w:cs="仿宋"/>
          <w:b/>
          <w:bCs/>
          <w:sz w:val="28"/>
          <w:szCs w:val="28"/>
        </w:rPr>
        <w:t>1.2 招标人</w:t>
      </w:r>
      <w:r>
        <w:rPr>
          <w:rFonts w:hint="eastAsia" w:ascii="仿宋" w:hAnsi="仿宋" w:eastAsia="仿宋" w:cs="仿宋"/>
          <w:sz w:val="28"/>
          <w:szCs w:val="28"/>
        </w:rPr>
        <w:t xml:space="preserve">：广州南方学院 </w:t>
      </w:r>
    </w:p>
    <w:p>
      <w:pPr>
        <w:rPr>
          <w:rFonts w:ascii="仿宋" w:hAnsi="仿宋" w:eastAsia="仿宋" w:cs="仿宋"/>
          <w:sz w:val="28"/>
          <w:szCs w:val="28"/>
        </w:rPr>
      </w:pPr>
      <w:r>
        <w:rPr>
          <w:rFonts w:hint="eastAsia" w:ascii="仿宋" w:hAnsi="仿宋" w:eastAsia="仿宋" w:cs="仿宋"/>
          <w:b/>
          <w:bCs/>
          <w:sz w:val="28"/>
          <w:szCs w:val="28"/>
        </w:rPr>
        <w:t>1.3 项目性质</w:t>
      </w:r>
      <w:r>
        <w:rPr>
          <w:rFonts w:hint="eastAsia" w:ascii="仿宋" w:hAnsi="仿宋" w:eastAsia="仿宋" w:cs="仿宋"/>
          <w:sz w:val="28"/>
          <w:szCs w:val="28"/>
        </w:rPr>
        <w:t xml:space="preserve">：服务类 </w:t>
      </w:r>
    </w:p>
    <w:p>
      <w:pPr>
        <w:rPr>
          <w:rFonts w:ascii="仿宋" w:hAnsi="仿宋" w:eastAsia="仿宋" w:cs="仿宋"/>
          <w:sz w:val="28"/>
          <w:szCs w:val="28"/>
        </w:rPr>
      </w:pPr>
      <w:r>
        <w:rPr>
          <w:rFonts w:hint="eastAsia" w:ascii="仿宋" w:hAnsi="仿宋" w:eastAsia="仿宋" w:cs="仿宋"/>
          <w:b/>
          <w:bCs/>
          <w:sz w:val="28"/>
          <w:szCs w:val="28"/>
        </w:rPr>
        <w:t>1.4 项目地点</w:t>
      </w:r>
      <w:r>
        <w:rPr>
          <w:rFonts w:hint="eastAsia" w:ascii="仿宋" w:hAnsi="仿宋" w:eastAsia="仿宋" w:cs="仿宋"/>
          <w:sz w:val="28"/>
          <w:szCs w:val="28"/>
        </w:rPr>
        <w:t>：广州市从化区温泉大道882号广州南方学院</w:t>
      </w:r>
    </w:p>
    <w:p>
      <w:pPr>
        <w:pStyle w:val="22"/>
        <w:spacing w:beforeLines="0" w:after="0" w:afterLines="0" w:line="360" w:lineRule="auto"/>
        <w:ind w:firstLine="0" w:firstLineChars="0"/>
        <w:jc w:val="both"/>
        <w:rPr>
          <w:rFonts w:ascii="仿宋" w:hAnsi="仿宋" w:eastAsia="仿宋" w:cs="仿宋"/>
          <w:color w:val="auto"/>
          <w:kern w:val="2"/>
          <w:szCs w:val="28"/>
          <w:lang w:eastAsia="zh-CN"/>
        </w:rPr>
      </w:pPr>
      <w:r>
        <w:rPr>
          <w:rFonts w:hint="eastAsia" w:ascii="仿宋" w:hAnsi="仿宋" w:eastAsia="仿宋" w:cs="仿宋"/>
          <w:b/>
          <w:bCs/>
          <w:color w:val="auto"/>
          <w:szCs w:val="28"/>
          <w:lang w:eastAsia="zh-CN"/>
        </w:rPr>
        <w:t>1.5</w:t>
      </w:r>
      <w:r>
        <w:rPr>
          <w:rFonts w:ascii="仿宋" w:hAnsi="仿宋" w:eastAsia="仿宋" w:cs="仿宋"/>
          <w:b/>
          <w:bCs/>
          <w:color w:val="auto"/>
          <w:szCs w:val="28"/>
          <w:lang w:eastAsia="zh-CN"/>
        </w:rPr>
        <w:t xml:space="preserve"> </w:t>
      </w:r>
      <w:r>
        <w:rPr>
          <w:rFonts w:hint="eastAsia" w:ascii="仿宋" w:hAnsi="仿宋" w:eastAsia="仿宋" w:cs="仿宋"/>
          <w:b/>
          <w:bCs/>
          <w:color w:val="auto"/>
          <w:szCs w:val="28"/>
          <w:lang w:eastAsia="zh-CN"/>
        </w:rPr>
        <w:t>实施时间</w:t>
      </w:r>
      <w:r>
        <w:rPr>
          <w:rFonts w:hint="eastAsia" w:ascii="仿宋" w:hAnsi="仿宋" w:eastAsia="仿宋" w:cs="仿宋"/>
          <w:color w:val="auto"/>
          <w:szCs w:val="28"/>
          <w:lang w:eastAsia="zh-CN"/>
        </w:rPr>
        <w:t>：造价咨询服务周期</w:t>
      </w:r>
      <w:r>
        <w:rPr>
          <w:rFonts w:ascii="仿宋" w:hAnsi="仿宋" w:eastAsia="仿宋" w:cs="仿宋"/>
          <w:color w:val="auto"/>
          <w:szCs w:val="28"/>
          <w:lang w:eastAsia="zh-CN"/>
        </w:rPr>
        <w:t>签订合同之日起1年</w:t>
      </w:r>
      <w:r>
        <w:rPr>
          <w:rFonts w:hint="eastAsia" w:ascii="仿宋" w:hAnsi="仿宋" w:eastAsia="仿宋" w:cs="仿宋"/>
          <w:color w:val="auto"/>
          <w:szCs w:val="28"/>
          <w:lang w:eastAsia="zh-CN"/>
        </w:rPr>
        <w:t>，</w:t>
      </w:r>
      <w:r>
        <w:rPr>
          <w:rFonts w:hint="eastAsia" w:ascii="仿宋" w:hAnsi="仿宋" w:eastAsia="仿宋" w:cs="仿宋"/>
          <w:color w:val="auto"/>
          <w:kern w:val="2"/>
          <w:szCs w:val="28"/>
          <w:lang w:eastAsia="zh-CN"/>
        </w:rPr>
        <w:t>在合同到期后，如招标人对中标人服务质量满意，且双方同意，可以按年度继续续期。</w:t>
      </w:r>
    </w:p>
    <w:p>
      <w:pPr>
        <w:rPr>
          <w:rFonts w:ascii="仿宋" w:hAnsi="仿宋" w:eastAsia="仿宋" w:cs="仿宋"/>
          <w:sz w:val="28"/>
          <w:szCs w:val="28"/>
        </w:rPr>
      </w:pPr>
      <w:r>
        <w:rPr>
          <w:rFonts w:hint="eastAsia" w:ascii="仿宋" w:hAnsi="仿宋" w:eastAsia="仿宋" w:cs="仿宋"/>
          <w:b/>
          <w:bCs/>
          <w:sz w:val="28"/>
          <w:szCs w:val="28"/>
        </w:rPr>
        <w:t>1.</w:t>
      </w:r>
      <w:r>
        <w:rPr>
          <w:rFonts w:ascii="仿宋" w:hAnsi="仿宋" w:eastAsia="仿宋" w:cs="仿宋"/>
          <w:b/>
          <w:bCs/>
          <w:sz w:val="28"/>
          <w:szCs w:val="28"/>
        </w:rPr>
        <w:t>6</w:t>
      </w:r>
      <w:r>
        <w:rPr>
          <w:rFonts w:hint="eastAsia" w:ascii="仿宋" w:hAnsi="仿宋" w:eastAsia="仿宋" w:cs="仿宋"/>
          <w:b/>
          <w:bCs/>
          <w:sz w:val="28"/>
          <w:szCs w:val="28"/>
        </w:rPr>
        <w:t xml:space="preserve"> 工程规模</w:t>
      </w:r>
      <w:r>
        <w:rPr>
          <w:rFonts w:hint="eastAsia" w:ascii="仿宋" w:hAnsi="仿宋" w:eastAsia="仿宋" w:cs="仿宋"/>
          <w:sz w:val="28"/>
          <w:szCs w:val="28"/>
        </w:rPr>
        <w:t>：广州</w:t>
      </w:r>
      <w:r>
        <w:rPr>
          <w:rFonts w:ascii="仿宋" w:hAnsi="仿宋" w:eastAsia="仿宋" w:cs="仿宋"/>
          <w:sz w:val="28"/>
          <w:szCs w:val="28"/>
        </w:rPr>
        <w:t>南方学院校园总占地面积约</w:t>
      </w:r>
      <w:r>
        <w:rPr>
          <w:rFonts w:hint="eastAsia" w:ascii="仿宋" w:hAnsi="仿宋" w:eastAsia="仿宋" w:cs="仿宋"/>
          <w:sz w:val="28"/>
          <w:szCs w:val="28"/>
        </w:rPr>
        <w:t>728059</w:t>
      </w:r>
      <w:r>
        <w:rPr>
          <w:rFonts w:ascii="仿宋" w:hAnsi="仿宋" w:eastAsia="仿宋" w:cs="仿宋"/>
          <w:sz w:val="28"/>
          <w:szCs w:val="28"/>
        </w:rPr>
        <w:t>平方米，</w:t>
      </w:r>
      <w:r>
        <w:rPr>
          <w:rFonts w:hint="eastAsia" w:ascii="仿宋" w:hAnsi="仿宋" w:eastAsia="仿宋" w:cs="仿宋"/>
          <w:sz w:val="28"/>
          <w:szCs w:val="28"/>
        </w:rPr>
        <w:t>项目主要内容为</w:t>
      </w:r>
      <w:r>
        <w:rPr>
          <w:rFonts w:ascii="仿宋" w:hAnsi="仿宋" w:eastAsia="仿宋" w:cs="仿宋"/>
          <w:sz w:val="28"/>
          <w:szCs w:val="28"/>
        </w:rPr>
        <w:t>学生宿舍、教学实验楼、图书馆、音乐楼、综合楼、学生活动中心、教工活动中心、行政办公楼、教工宿舍、体育馆、游泳馆、车站及水电设施等基础用房、污水处理站、垃圾中转站、专家楼、医务楼等</w:t>
      </w:r>
      <w:r>
        <w:rPr>
          <w:rFonts w:hint="eastAsia" w:ascii="仿宋" w:hAnsi="仿宋" w:eastAsia="仿宋" w:cs="仿宋"/>
          <w:sz w:val="28"/>
          <w:szCs w:val="28"/>
        </w:rPr>
        <w:t>既有建筑物的建筑面积约5</w:t>
      </w:r>
      <w:r>
        <w:rPr>
          <w:rFonts w:ascii="仿宋" w:hAnsi="仿宋" w:eastAsia="仿宋" w:cs="仿宋"/>
          <w:sz w:val="28"/>
          <w:szCs w:val="28"/>
        </w:rPr>
        <w:t>12482.20</w:t>
      </w:r>
      <w:r>
        <w:rPr>
          <w:rFonts w:hint="eastAsia" w:ascii="仿宋" w:hAnsi="仿宋" w:eastAsia="仿宋" w:cs="仿宋"/>
          <w:sz w:val="28"/>
          <w:szCs w:val="28"/>
        </w:rPr>
        <w:t>平方米</w:t>
      </w:r>
      <w:r>
        <w:rPr>
          <w:rFonts w:ascii="仿宋" w:hAnsi="仿宋" w:eastAsia="仿宋" w:cs="仿宋"/>
          <w:sz w:val="28"/>
          <w:szCs w:val="28"/>
        </w:rPr>
        <w:t>，</w:t>
      </w:r>
      <w:r>
        <w:rPr>
          <w:rFonts w:hint="eastAsia" w:ascii="仿宋" w:hAnsi="仿宋" w:eastAsia="仿宋" w:cs="仿宋"/>
          <w:sz w:val="28"/>
          <w:szCs w:val="28"/>
        </w:rPr>
        <w:t>每年度维修改造工程投资约1</w:t>
      </w:r>
      <w:r>
        <w:rPr>
          <w:rFonts w:ascii="仿宋" w:hAnsi="仿宋" w:eastAsia="仿宋" w:cs="仿宋"/>
          <w:sz w:val="28"/>
          <w:szCs w:val="28"/>
        </w:rPr>
        <w:t>000</w:t>
      </w:r>
      <w:r>
        <w:rPr>
          <w:rFonts w:hint="eastAsia" w:ascii="仿宋" w:hAnsi="仿宋" w:eastAsia="仿宋" w:cs="仿宋"/>
          <w:sz w:val="28"/>
          <w:szCs w:val="28"/>
        </w:rPr>
        <w:t>万元，工程项目多，单个项目的估算从几百到几十万元不等。</w:t>
      </w:r>
      <w:r>
        <w:rPr>
          <w:rFonts w:ascii="仿宋" w:hAnsi="仿宋" w:eastAsia="仿宋" w:cs="仿宋"/>
          <w:sz w:val="28"/>
          <w:szCs w:val="28"/>
        </w:rPr>
        <w:t>在服务期内，</w:t>
      </w:r>
      <w:r>
        <w:rPr>
          <w:rFonts w:hint="eastAsia" w:ascii="仿宋" w:hAnsi="仿宋" w:eastAsia="仿宋" w:cs="仿宋"/>
          <w:sz w:val="28"/>
          <w:szCs w:val="28"/>
        </w:rPr>
        <w:t>招标人</w:t>
      </w:r>
      <w:r>
        <w:rPr>
          <w:rFonts w:ascii="仿宋" w:hAnsi="仿宋" w:eastAsia="仿宋" w:cs="仿宋"/>
          <w:sz w:val="28"/>
          <w:szCs w:val="28"/>
        </w:rPr>
        <w:t>不</w:t>
      </w:r>
      <w:r>
        <w:rPr>
          <w:rFonts w:hint="eastAsia" w:ascii="仿宋" w:hAnsi="仿宋" w:eastAsia="仿宋" w:cs="仿宋"/>
          <w:sz w:val="28"/>
          <w:szCs w:val="28"/>
        </w:rPr>
        <w:t>保证投标人中标后具体承担造价咨询涉及工程投资总额必须达到</w:t>
      </w:r>
      <w:r>
        <w:rPr>
          <w:rFonts w:ascii="仿宋" w:hAnsi="仿宋" w:eastAsia="仿宋" w:cs="仿宋"/>
          <w:sz w:val="28"/>
          <w:szCs w:val="28"/>
        </w:rPr>
        <w:t>1000万元</w:t>
      </w:r>
      <w:r>
        <w:rPr>
          <w:rFonts w:hint="eastAsia" w:ascii="仿宋" w:hAnsi="仿宋" w:eastAsia="仿宋" w:cs="仿宋"/>
          <w:sz w:val="28"/>
          <w:szCs w:val="28"/>
        </w:rPr>
        <w:t>，招标人可根据学校的实际情况可对中标人委托造价咨询项目进行增减，此不视为招标人违约</w:t>
      </w:r>
      <w:r>
        <w:rPr>
          <w:rFonts w:ascii="仿宋" w:hAnsi="仿宋" w:eastAsia="仿宋" w:cs="仿宋"/>
          <w:sz w:val="28"/>
          <w:szCs w:val="28"/>
        </w:rPr>
        <w:t>。</w:t>
      </w:r>
    </w:p>
    <w:p>
      <w:pPr>
        <w:outlineLvl w:val="1"/>
        <w:rPr>
          <w:rFonts w:ascii="仿宋" w:hAnsi="仿宋" w:eastAsia="仿宋" w:cs="仿宋"/>
          <w:b/>
          <w:bCs/>
          <w:sz w:val="32"/>
          <w:szCs w:val="32"/>
        </w:rPr>
      </w:pPr>
      <w:r>
        <w:rPr>
          <w:rFonts w:hint="eastAsia" w:ascii="仿宋" w:hAnsi="仿宋" w:eastAsia="仿宋" w:cs="仿宋"/>
          <w:b/>
          <w:bCs/>
          <w:sz w:val="32"/>
          <w:szCs w:val="32"/>
        </w:rPr>
        <w:t>二、招标范围</w:t>
      </w:r>
    </w:p>
    <w:p>
      <w:pPr>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.1</w:t>
      </w:r>
      <w:r>
        <w:rPr>
          <w:rFonts w:hint="eastAsia" w:ascii="仿宋" w:hAnsi="仿宋" w:eastAsia="仿宋" w:cs="仿宋"/>
          <w:b/>
          <w:bCs/>
          <w:sz w:val="28"/>
          <w:szCs w:val="28"/>
        </w:rPr>
        <w:t>服务范围</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服务主要范围为教学楼、实验室、图书馆、综合楼、办公楼、教工宿舍、学生宿舍、食堂、体育馆、游泳池等建（构）筑物以及配套设施的维修改造工程项目，可能发生少量的新建建筑工程。</w:t>
      </w:r>
    </w:p>
    <w:p>
      <w:pPr>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.2</w:t>
      </w:r>
      <w:r>
        <w:rPr>
          <w:rFonts w:hint="eastAsia" w:ascii="仿宋" w:hAnsi="仿宋" w:eastAsia="仿宋" w:cs="仿宋"/>
          <w:b/>
          <w:bCs/>
          <w:sz w:val="28"/>
          <w:szCs w:val="28"/>
        </w:rPr>
        <w:t>工作内容</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工作内容包括但不限于：</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1）工程项目范围内初步设计（含概算）造价编制或审核；</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2）施工图设计质量和深度的复核；</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3）施工图工程量清单和预算价、控制价的编制或审核（含由招标人单独发包的各专项工程）；</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4）拟应用于该项目的材料（设备）清单和预算价、控制价的编制；</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5）工程量清单和预算价、控制价的核对；</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6</w:t>
      </w:r>
      <w:r>
        <w:rPr>
          <w:rFonts w:hint="eastAsia" w:ascii="仿宋" w:hAnsi="仿宋" w:eastAsia="仿宋" w:cs="仿宋"/>
          <w:color w:val="auto"/>
          <w:kern w:val="2"/>
          <w:szCs w:val="28"/>
          <w:lang w:eastAsia="zh-CN"/>
        </w:rPr>
        <w:t>）根据项目承包人合同的实际情况（含工程变更、签证以及零星工程），对项目分阶段工程结算以及最终工程结算的审核。</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7</w:t>
      </w:r>
      <w:r>
        <w:rPr>
          <w:rFonts w:hint="eastAsia" w:ascii="仿宋" w:hAnsi="仿宋" w:eastAsia="仿宋" w:cs="仿宋"/>
          <w:color w:val="auto"/>
          <w:kern w:val="2"/>
          <w:szCs w:val="28"/>
          <w:lang w:eastAsia="zh-CN"/>
        </w:rPr>
        <w:t>）审核、评估承包商或供货商提出的索赔，并为招标人提供谈判的建议及工结算的依据。</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8</w:t>
      </w:r>
      <w:r>
        <w:rPr>
          <w:rFonts w:hint="eastAsia" w:ascii="仿宋" w:hAnsi="仿宋" w:eastAsia="仿宋" w:cs="仿宋"/>
          <w:color w:val="auto"/>
          <w:kern w:val="2"/>
          <w:szCs w:val="28"/>
          <w:lang w:eastAsia="zh-CN"/>
        </w:rPr>
        <w:t>）为招标人合理使用资金提供技术支持与服务，比如：根据审核结果向招标人提供调整意见和合理化建议并提交审核报告和根据项目定位提出主要材料（设备）品牌及生产厂家的参考并对项目范围内主要材料（设备）询价等；</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9</w:t>
      </w:r>
      <w:r>
        <w:rPr>
          <w:rFonts w:hint="eastAsia" w:ascii="仿宋" w:hAnsi="仿宋" w:eastAsia="仿宋" w:cs="仿宋"/>
          <w:color w:val="auto"/>
          <w:kern w:val="2"/>
          <w:szCs w:val="28"/>
          <w:lang w:eastAsia="zh-CN"/>
        </w:rPr>
        <w:t>）招标人要求的造价关联的其他咨询服务。</w:t>
      </w:r>
    </w:p>
    <w:p>
      <w:pPr>
        <w:outlineLvl w:val="1"/>
        <w:rPr>
          <w:rFonts w:ascii="仿宋" w:hAnsi="仿宋" w:eastAsia="仿宋" w:cs="仿宋"/>
          <w:b/>
          <w:bCs/>
          <w:sz w:val="32"/>
          <w:szCs w:val="32"/>
        </w:rPr>
      </w:pPr>
      <w:bookmarkStart w:id="1" w:name="_Toc23821"/>
      <w:r>
        <w:rPr>
          <w:rFonts w:hint="eastAsia" w:ascii="仿宋" w:hAnsi="仿宋" w:eastAsia="仿宋" w:cs="仿宋"/>
          <w:b/>
          <w:bCs/>
          <w:sz w:val="32"/>
          <w:szCs w:val="32"/>
        </w:rPr>
        <w:t>三、投标人资格要求</w:t>
      </w:r>
      <w:bookmarkEnd w:id="1"/>
    </w:p>
    <w:p>
      <w:pPr>
        <w:rPr>
          <w:rFonts w:ascii="仿宋" w:hAnsi="仿宋" w:eastAsia="仿宋" w:cs="仿宋"/>
          <w:b/>
          <w:bCs/>
          <w:sz w:val="28"/>
          <w:szCs w:val="28"/>
        </w:rPr>
      </w:pPr>
      <w:r>
        <w:rPr>
          <w:rFonts w:hint="eastAsia" w:ascii="仿宋" w:hAnsi="仿宋" w:eastAsia="仿宋" w:cs="仿宋"/>
          <w:b/>
          <w:bCs/>
          <w:sz w:val="28"/>
          <w:szCs w:val="28"/>
        </w:rPr>
        <w:t>3.1 企业要求</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1）投标人必须是在中华人民共和国境内注册登记的独立法人，经营范围必须包含招标范围内的全部服务内容（提供营业执照等证明文件）。</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）履行合同所必需的设备和专业技术能力的证明材料或书面声明。</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3</w:t>
      </w:r>
      <w:r>
        <w:rPr>
          <w:rFonts w:hint="eastAsia" w:ascii="仿宋" w:hAnsi="仿宋" w:eastAsia="仿宋" w:cs="仿宋"/>
          <w:color w:val="auto"/>
          <w:kern w:val="2"/>
          <w:szCs w:val="28"/>
          <w:lang w:eastAsia="zh-CN"/>
        </w:rPr>
        <w:t>）投标人拟投入本项目的项目负责人具有一级注册造价工程师资格证书。</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截止本项目报价截止前，在信用中国网、中国政府采购网、建设工程招投标交易平台及其它有关网站，被查询到“失信被执行人”、“重大税收违法当事人名单”、“政府采购严重违法失信名单”等具有不良行为的投标人，将拒绝其参加本次投标活动(提供网页截图)。</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5</w:t>
      </w:r>
      <w:r>
        <w:rPr>
          <w:rFonts w:hint="eastAsia" w:ascii="仿宋" w:hAnsi="仿宋" w:eastAsia="仿宋" w:cs="仿宋"/>
          <w:color w:val="auto"/>
          <w:kern w:val="2"/>
          <w:szCs w:val="28"/>
          <w:lang w:eastAsia="zh-CN"/>
        </w:rPr>
        <w:t>）投标人近3年内在经营活动中没有骗取中标、严重违约、重大违法记录。</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6</w:t>
      </w:r>
      <w:r>
        <w:rPr>
          <w:rFonts w:hint="eastAsia" w:ascii="仿宋" w:hAnsi="仿宋" w:eastAsia="仿宋" w:cs="仿宋"/>
          <w:color w:val="auto"/>
          <w:kern w:val="2"/>
          <w:szCs w:val="28"/>
          <w:lang w:eastAsia="zh-CN"/>
        </w:rPr>
        <w:t>）本项目不接受联合体投标，项目执行过程中不允许转包、分包。</w:t>
      </w:r>
    </w:p>
    <w:p>
      <w:pPr>
        <w:pStyle w:val="22"/>
        <w:spacing w:beforeLines="0" w:after="0" w:afterLines="0" w:line="360" w:lineRule="auto"/>
        <w:ind w:firstLine="560"/>
        <w:jc w:val="both"/>
        <w:rPr>
          <w:rFonts w:hint="eastAsia" w:ascii="仿宋" w:hAnsi="仿宋" w:eastAsia="仿宋" w:cs="仿宋"/>
          <w:color w:val="auto"/>
          <w:kern w:val="2"/>
          <w:szCs w:val="28"/>
          <w:lang w:eastAsia="zh-CN"/>
        </w:rPr>
      </w:pPr>
      <w:r>
        <w:rPr>
          <w:rFonts w:ascii="仿宋" w:hAnsi="仿宋" w:eastAsia="仿宋" w:cs="仿宋"/>
          <w:color w:val="auto"/>
          <w:kern w:val="2"/>
          <w:szCs w:val="28"/>
          <w:lang w:eastAsia="zh-CN"/>
        </w:rPr>
        <w:t>7</w:t>
      </w:r>
      <w:r>
        <w:rPr>
          <w:rFonts w:hint="eastAsia" w:ascii="仿宋" w:hAnsi="仿宋" w:eastAsia="仿宋" w:cs="仿宋"/>
          <w:color w:val="auto"/>
          <w:kern w:val="2"/>
          <w:szCs w:val="28"/>
          <w:lang w:eastAsia="zh-CN"/>
        </w:rPr>
        <w:t>）自本招标公告发布之日起，投标人不得与招标人存在合同关系，且不得与招标人存在合同关系的施工承包单位、建筑材料供应单位、设备供应单位、建筑构配件供应单位、</w:t>
      </w:r>
      <w:r>
        <w:rPr>
          <w:rFonts w:ascii="仿宋" w:hAnsi="仿宋" w:eastAsia="仿宋" w:cs="仿宋"/>
          <w:color w:val="auto"/>
          <w:kern w:val="2"/>
          <w:szCs w:val="28"/>
          <w:lang w:eastAsia="zh-CN"/>
        </w:rPr>
        <w:t>工程咨询单位</w:t>
      </w:r>
      <w:r>
        <w:rPr>
          <w:rFonts w:hint="eastAsia" w:ascii="仿宋" w:hAnsi="仿宋" w:eastAsia="仿宋" w:cs="仿宋"/>
          <w:color w:val="auto"/>
          <w:kern w:val="2"/>
          <w:szCs w:val="28"/>
          <w:lang w:eastAsia="zh-CN"/>
        </w:rPr>
        <w:t>有隶属关系或其他利害关系。</w:t>
      </w:r>
    </w:p>
    <w:p>
      <w:pPr>
        <w:pStyle w:val="22"/>
        <w:spacing w:beforeLines="0" w:after="0" w:afterLines="0" w:line="360" w:lineRule="auto"/>
        <w:ind w:firstLine="560"/>
        <w:jc w:val="both"/>
        <w:rPr>
          <w:rFonts w:hint="default" w:ascii="仿宋" w:hAnsi="仿宋" w:eastAsia="仿宋" w:cs="仿宋"/>
          <w:color w:val="FF0000"/>
          <w:kern w:val="2"/>
          <w:szCs w:val="28"/>
          <w:lang w:val="en-US" w:eastAsia="zh-CN"/>
        </w:rPr>
      </w:pPr>
      <w:r>
        <w:rPr>
          <w:rFonts w:hint="eastAsia" w:ascii="仿宋" w:hAnsi="仿宋" w:eastAsia="仿宋" w:cs="仿宋"/>
          <w:color w:val="FF0000"/>
          <w:kern w:val="2"/>
          <w:szCs w:val="28"/>
          <w:lang w:val="en-US" w:eastAsia="zh-CN"/>
        </w:rPr>
        <w:t>8）请各报名投标人慎重参与项目的投标竞标，如出现恶意扰乱竞标行为的包含但不局限于随意报名、恶意低价中标以及中标后随意弃标等，三年内禁止参与本校所有项目投标并承担相应法律责任。</w:t>
      </w:r>
    </w:p>
    <w:p>
      <w:pPr>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2</w:t>
      </w:r>
      <w:r>
        <w:rPr>
          <w:rFonts w:hint="eastAsia" w:ascii="仿宋" w:hAnsi="仿宋" w:eastAsia="仿宋" w:cs="仿宋"/>
          <w:b/>
          <w:bCs/>
          <w:sz w:val="28"/>
          <w:szCs w:val="28"/>
        </w:rPr>
        <w:t xml:space="preserve"> 企业业绩</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0</w:t>
      </w:r>
      <w:r>
        <w:rPr>
          <w:rFonts w:ascii="仿宋" w:hAnsi="仿宋" w:eastAsia="仿宋" w:cs="仿宋"/>
          <w:color w:val="auto"/>
          <w:kern w:val="2"/>
          <w:szCs w:val="28"/>
          <w:lang w:eastAsia="zh-CN"/>
        </w:rPr>
        <w:t>20</w:t>
      </w:r>
      <w:r>
        <w:rPr>
          <w:rFonts w:hint="eastAsia" w:ascii="仿宋" w:hAnsi="仿宋" w:eastAsia="仿宋" w:cs="仿宋"/>
          <w:color w:val="auto"/>
          <w:kern w:val="2"/>
          <w:szCs w:val="28"/>
          <w:lang w:eastAsia="zh-CN"/>
        </w:rPr>
        <w:t>年1月1日以来以项目负责人身份至少完成一个建筑面积在3.5万平方米或项目投资额在</w:t>
      </w:r>
      <w:r>
        <w:rPr>
          <w:rFonts w:ascii="仿宋" w:hAnsi="仿宋" w:eastAsia="仿宋" w:cs="仿宋"/>
          <w:color w:val="auto"/>
          <w:kern w:val="2"/>
          <w:szCs w:val="28"/>
          <w:lang w:eastAsia="zh-CN"/>
        </w:rPr>
        <w:t>0.2</w:t>
      </w:r>
      <w:r>
        <w:rPr>
          <w:rFonts w:hint="eastAsia" w:ascii="仿宋" w:hAnsi="仿宋" w:eastAsia="仿宋" w:cs="仿宋"/>
          <w:color w:val="auto"/>
          <w:kern w:val="2"/>
          <w:szCs w:val="28"/>
          <w:lang w:eastAsia="zh-CN"/>
        </w:rPr>
        <w:t>亿元及以上的房屋建筑工程量清单、概（预）算价编制或审核、结算审核项目业绩。开标时须同时提供：①中标通知书或合同原件；②工程量清单、预算价、结算价成果文件原件。以中标通知书或合同载明信息为准。若上述资料中不能体现业绩，则另行提供由建设单位或行政主管部门出具的证明文件。</w:t>
      </w:r>
    </w:p>
    <w:p>
      <w:pPr>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 xml:space="preserve">3 </w:t>
      </w:r>
      <w:r>
        <w:rPr>
          <w:rFonts w:hint="eastAsia" w:ascii="仿宋" w:hAnsi="仿宋" w:eastAsia="仿宋" w:cs="仿宋"/>
          <w:b/>
          <w:bCs/>
          <w:sz w:val="28"/>
          <w:szCs w:val="28"/>
        </w:rPr>
        <w:t>项目负责人要求</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资格：具有一级注册造价工程师资格。</w:t>
      </w: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0</w:t>
      </w:r>
      <w:r>
        <w:rPr>
          <w:rFonts w:ascii="仿宋" w:hAnsi="仿宋" w:eastAsia="仿宋" w:cs="仿宋"/>
          <w:color w:val="auto"/>
          <w:kern w:val="2"/>
          <w:szCs w:val="28"/>
          <w:lang w:eastAsia="zh-CN"/>
        </w:rPr>
        <w:t>20</w:t>
      </w:r>
      <w:r>
        <w:rPr>
          <w:rFonts w:hint="eastAsia" w:ascii="仿宋" w:hAnsi="仿宋" w:eastAsia="仿宋" w:cs="仿宋"/>
          <w:color w:val="auto"/>
          <w:kern w:val="2"/>
          <w:szCs w:val="28"/>
          <w:lang w:eastAsia="zh-CN"/>
        </w:rPr>
        <w:t>年1月1日以来以项目负责人身份至少完成一个建筑面积在3.5万平方米或项目投资额在</w:t>
      </w:r>
      <w:r>
        <w:rPr>
          <w:rFonts w:ascii="仿宋" w:hAnsi="仿宋" w:eastAsia="仿宋" w:cs="仿宋"/>
          <w:color w:val="auto"/>
          <w:kern w:val="2"/>
          <w:szCs w:val="28"/>
          <w:lang w:eastAsia="zh-CN"/>
        </w:rPr>
        <w:t>0.2</w:t>
      </w:r>
      <w:r>
        <w:rPr>
          <w:rFonts w:hint="eastAsia" w:ascii="仿宋" w:hAnsi="仿宋" w:eastAsia="仿宋" w:cs="仿宋"/>
          <w:color w:val="auto"/>
          <w:kern w:val="2"/>
          <w:szCs w:val="28"/>
          <w:lang w:eastAsia="zh-CN"/>
        </w:rPr>
        <w:t>亿元及以上的房屋建筑工程量清单、概（预）算价编制或审核、结算审核。</w:t>
      </w:r>
      <w:r>
        <w:rPr>
          <w:rFonts w:hint="eastAsia" w:ascii="仿宋" w:hAnsi="仿宋" w:eastAsia="仿宋" w:cs="仿宋"/>
          <w:color w:val="FF0000"/>
          <w:kern w:val="2"/>
          <w:szCs w:val="28"/>
          <w:lang w:val="en-US" w:eastAsia="zh-CN"/>
        </w:rPr>
        <w:t>投</w:t>
      </w:r>
      <w:r>
        <w:rPr>
          <w:rFonts w:hint="eastAsia" w:ascii="仿宋" w:hAnsi="仿宋" w:eastAsia="仿宋" w:cs="仿宋"/>
          <w:color w:val="FF0000"/>
          <w:kern w:val="2"/>
          <w:szCs w:val="28"/>
          <w:lang w:eastAsia="zh-CN"/>
        </w:rPr>
        <w:t>标时须同时提供：①中标通知书或合同原件</w:t>
      </w:r>
      <w:r>
        <w:rPr>
          <w:rFonts w:hint="eastAsia" w:ascii="仿宋" w:hAnsi="仿宋" w:eastAsia="仿宋" w:cs="仿宋"/>
          <w:color w:val="FF0000"/>
          <w:kern w:val="2"/>
          <w:szCs w:val="28"/>
          <w:lang w:val="en-US" w:eastAsia="zh-CN"/>
        </w:rPr>
        <w:t>扫描件</w:t>
      </w:r>
      <w:r>
        <w:rPr>
          <w:rFonts w:hint="eastAsia" w:ascii="仿宋" w:hAnsi="仿宋" w:eastAsia="仿宋" w:cs="仿宋"/>
          <w:color w:val="FF0000"/>
          <w:kern w:val="2"/>
          <w:szCs w:val="28"/>
          <w:lang w:eastAsia="zh-CN"/>
        </w:rPr>
        <w:t>；②工程量清单、预算价、结算价成果文件原件</w:t>
      </w:r>
      <w:r>
        <w:rPr>
          <w:rFonts w:hint="eastAsia" w:ascii="仿宋" w:hAnsi="仿宋" w:eastAsia="仿宋" w:cs="仿宋"/>
          <w:color w:val="FF0000"/>
          <w:kern w:val="2"/>
          <w:szCs w:val="28"/>
          <w:lang w:val="en-US" w:eastAsia="zh-CN"/>
        </w:rPr>
        <w:t>扫描件（原件备查）</w:t>
      </w:r>
      <w:r>
        <w:rPr>
          <w:rFonts w:hint="eastAsia" w:ascii="仿宋" w:hAnsi="仿宋" w:eastAsia="仿宋" w:cs="仿宋"/>
          <w:color w:val="FF0000"/>
          <w:kern w:val="2"/>
          <w:szCs w:val="28"/>
          <w:lang w:eastAsia="zh-CN"/>
        </w:rPr>
        <w:t>。以中标通知书或合同载明信息为准。</w:t>
      </w:r>
      <w:r>
        <w:rPr>
          <w:rFonts w:hint="eastAsia" w:ascii="仿宋" w:hAnsi="仿宋" w:eastAsia="仿宋" w:cs="仿宋"/>
          <w:color w:val="auto"/>
          <w:kern w:val="2"/>
          <w:szCs w:val="28"/>
          <w:lang w:eastAsia="zh-CN"/>
        </w:rPr>
        <w:t>若上述资料中不能体现业绩，则另行提供由建设单位或行政主管部门出具的证明文件。</w:t>
      </w:r>
    </w:p>
    <w:p>
      <w:pPr>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 xml:space="preserve">4 </w:t>
      </w:r>
      <w:r>
        <w:rPr>
          <w:rFonts w:hint="eastAsia" w:ascii="仿宋" w:hAnsi="仿宋" w:eastAsia="仿宋" w:cs="仿宋"/>
          <w:b/>
          <w:bCs/>
          <w:sz w:val="28"/>
          <w:szCs w:val="28"/>
        </w:rPr>
        <w:t>最低人员班组要求</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除项目负责人外，班组成员不得少于</w:t>
      </w:r>
      <w:r>
        <w:rPr>
          <w:rFonts w:ascii="仿宋" w:hAnsi="仿宋" w:eastAsia="仿宋" w:cs="仿宋"/>
          <w:color w:val="auto"/>
          <w:kern w:val="2"/>
          <w:szCs w:val="28"/>
          <w:lang w:eastAsia="zh-CN"/>
        </w:rPr>
        <w:t>3</w:t>
      </w:r>
      <w:r>
        <w:rPr>
          <w:rFonts w:hint="eastAsia" w:ascii="仿宋" w:hAnsi="仿宋" w:eastAsia="仿宋" w:cs="仿宋"/>
          <w:color w:val="auto"/>
          <w:kern w:val="2"/>
          <w:szCs w:val="28"/>
          <w:lang w:eastAsia="zh-CN"/>
        </w:rPr>
        <w:t>人（必须提供1名土建专业一级注册造价工程师，1名安装专业一级注册造价工程师，</w:t>
      </w:r>
      <w:r>
        <w:rPr>
          <w:rFonts w:ascii="仿宋" w:hAnsi="仿宋" w:eastAsia="仿宋" w:cs="仿宋"/>
          <w:color w:val="auto"/>
          <w:kern w:val="2"/>
          <w:szCs w:val="28"/>
          <w:lang w:eastAsia="zh-CN"/>
        </w:rPr>
        <w:t>1</w:t>
      </w:r>
      <w:r>
        <w:rPr>
          <w:rFonts w:hint="eastAsia" w:ascii="仿宋" w:hAnsi="仿宋" w:eastAsia="仿宋" w:cs="仿宋"/>
          <w:color w:val="auto"/>
          <w:kern w:val="2"/>
          <w:szCs w:val="28"/>
          <w:lang w:eastAsia="zh-CN"/>
        </w:rPr>
        <w:t>名土建专业二级注册造价工程师，一级造价工程师可以替代二级造价工程师。）人员班组须为投标人总公司正式员工</w:t>
      </w:r>
      <w:r>
        <w:rPr>
          <w:rFonts w:hint="eastAsia" w:ascii="仿宋" w:hAnsi="仿宋" w:eastAsia="仿宋" w:cs="仿宋"/>
          <w:color w:val="FF0000"/>
          <w:kern w:val="2"/>
          <w:szCs w:val="28"/>
          <w:lang w:eastAsia="zh-CN"/>
        </w:rPr>
        <w:t>（</w:t>
      </w:r>
      <w:r>
        <w:rPr>
          <w:rFonts w:hint="eastAsia" w:ascii="仿宋" w:hAnsi="仿宋" w:eastAsia="仿宋" w:cs="仿宋"/>
          <w:color w:val="FF0000"/>
          <w:kern w:val="2"/>
          <w:szCs w:val="28"/>
          <w:lang w:val="en-US" w:eastAsia="zh-CN"/>
        </w:rPr>
        <w:t>提供</w:t>
      </w:r>
      <w:r>
        <w:rPr>
          <w:rFonts w:hint="eastAsia" w:ascii="仿宋" w:hAnsi="仿宋" w:eastAsia="仿宋" w:cs="仿宋"/>
          <w:color w:val="FF0000"/>
          <w:kern w:val="2"/>
          <w:szCs w:val="28"/>
          <w:lang w:eastAsia="zh-CN"/>
        </w:rPr>
        <w:t>购买社保至少6个月的证明文件）</w:t>
      </w:r>
      <w:r>
        <w:rPr>
          <w:rFonts w:hint="eastAsia" w:ascii="仿宋" w:hAnsi="仿宋" w:eastAsia="仿宋" w:cs="仿宋"/>
          <w:color w:val="auto"/>
          <w:kern w:val="2"/>
          <w:szCs w:val="28"/>
          <w:lang w:eastAsia="zh-CN"/>
        </w:rPr>
        <w:t>。</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投标人按照拟</w:t>
      </w:r>
      <w:r>
        <w:rPr>
          <w:rFonts w:hint="eastAsia" w:ascii="仿宋" w:hAnsi="仿宋" w:eastAsia="仿宋" w:cs="仿宋"/>
          <w:bCs/>
          <w:color w:val="auto"/>
          <w:kern w:val="2"/>
          <w:szCs w:val="28"/>
          <w:lang w:eastAsia="zh-CN"/>
        </w:rPr>
        <w:t>派出项目负责人及造价项目组成员填报《工程造价咨询机构人员配备情况表》，见下表。</w:t>
      </w:r>
      <w:r>
        <w:rPr>
          <w:rFonts w:ascii="仿宋" w:hAnsi="仿宋" w:eastAsia="仿宋" w:cs="仿宋"/>
          <w:color w:val="auto"/>
          <w:kern w:val="2"/>
          <w:szCs w:val="28"/>
          <w:lang w:eastAsia="zh-CN"/>
        </w:rPr>
        <w:t>拟</w:t>
      </w:r>
      <w:r>
        <w:rPr>
          <w:rFonts w:hint="eastAsia" w:ascii="仿宋" w:hAnsi="仿宋" w:eastAsia="仿宋" w:cs="仿宋"/>
          <w:color w:val="auto"/>
          <w:kern w:val="2"/>
          <w:szCs w:val="28"/>
          <w:lang w:eastAsia="zh-CN"/>
        </w:rPr>
        <w:t>派人员一经确定不得随意变更，确需变更的必须书面报招标人审批同意。</w:t>
      </w:r>
    </w:p>
    <w:p>
      <w:pPr>
        <w:pStyle w:val="22"/>
        <w:spacing w:beforeLines="0" w:after="0" w:afterLines="0" w:line="360" w:lineRule="auto"/>
        <w:ind w:firstLine="560"/>
        <w:jc w:val="both"/>
        <w:rPr>
          <w:rFonts w:ascii="仿宋" w:hAnsi="仿宋" w:eastAsia="仿宋" w:cs="仿宋"/>
          <w:color w:val="auto"/>
          <w:kern w:val="2"/>
          <w:szCs w:val="28"/>
          <w:lang w:eastAsia="zh-CN"/>
        </w:rPr>
      </w:pPr>
    </w:p>
    <w:p>
      <w:pPr>
        <w:pStyle w:val="22"/>
        <w:spacing w:beforeLines="0" w:after="0" w:afterLines="0" w:line="360" w:lineRule="auto"/>
        <w:ind w:firstLine="560"/>
        <w:jc w:val="both"/>
        <w:rPr>
          <w:rFonts w:ascii="仿宋" w:hAnsi="仿宋" w:eastAsia="仿宋" w:cs="仿宋"/>
          <w:color w:val="auto"/>
          <w:kern w:val="2"/>
          <w:szCs w:val="28"/>
          <w:lang w:eastAsia="zh-CN"/>
        </w:rPr>
      </w:pPr>
    </w:p>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表3</w:t>
      </w:r>
      <w:r>
        <w:rPr>
          <w:rFonts w:ascii="仿宋" w:hAnsi="仿宋" w:eastAsia="仿宋" w:cs="仿宋"/>
          <w:color w:val="auto"/>
          <w:kern w:val="2"/>
          <w:szCs w:val="28"/>
          <w:lang w:eastAsia="zh-CN"/>
        </w:rPr>
        <w:t xml:space="preserve">.4  </w:t>
      </w:r>
      <w:r>
        <w:rPr>
          <w:rFonts w:hint="eastAsia" w:ascii="仿宋" w:hAnsi="仿宋" w:eastAsia="仿宋" w:cs="仿宋"/>
          <w:color w:val="auto"/>
          <w:kern w:val="2"/>
          <w:szCs w:val="28"/>
          <w:lang w:eastAsia="zh-CN"/>
        </w:rPr>
        <w:t>工程造价咨询机构人员配备情况表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94"/>
        <w:gridCol w:w="895"/>
        <w:gridCol w:w="895"/>
        <w:gridCol w:w="1360"/>
        <w:gridCol w:w="895"/>
        <w:gridCol w:w="895"/>
        <w:gridCol w:w="89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pct"/>
            <w:vMerge w:val="restar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序号</w:t>
            </w:r>
          </w:p>
        </w:tc>
        <w:tc>
          <w:tcPr>
            <w:tcW w:w="525" w:type="pct"/>
            <w:vMerge w:val="restar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职务</w:t>
            </w:r>
          </w:p>
        </w:tc>
        <w:tc>
          <w:tcPr>
            <w:tcW w:w="525" w:type="pct"/>
            <w:vMerge w:val="restar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姓名</w:t>
            </w:r>
          </w:p>
        </w:tc>
        <w:tc>
          <w:tcPr>
            <w:tcW w:w="525" w:type="pct"/>
            <w:vMerge w:val="restar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职称</w:t>
            </w:r>
          </w:p>
        </w:tc>
        <w:tc>
          <w:tcPr>
            <w:tcW w:w="2373" w:type="pct"/>
            <w:gridSpan w:val="4"/>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执业或职业资格证明</w:t>
            </w:r>
          </w:p>
        </w:tc>
        <w:tc>
          <w:tcPr>
            <w:tcW w:w="526" w:type="pct"/>
            <w:vMerge w:val="restart"/>
            <w:vAlign w:val="center"/>
          </w:tcPr>
          <w:p>
            <w:pPr>
              <w:pStyle w:val="22"/>
              <w:spacing w:beforeLines="0" w:after="0" w:afterLines="0" w:line="360" w:lineRule="auto"/>
              <w:ind w:firstLine="0" w:firstLineChars="0"/>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pct"/>
            <w:vMerge w:val="continue"/>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vMerge w:val="continue"/>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vMerge w:val="continue"/>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vMerge w:val="continue"/>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798"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证书名称</w:t>
            </w:r>
          </w:p>
        </w:tc>
        <w:tc>
          <w:tcPr>
            <w:tcW w:w="525"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级别</w:t>
            </w:r>
          </w:p>
        </w:tc>
        <w:tc>
          <w:tcPr>
            <w:tcW w:w="525"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证号</w:t>
            </w:r>
          </w:p>
        </w:tc>
        <w:tc>
          <w:tcPr>
            <w:tcW w:w="525"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专业</w:t>
            </w:r>
          </w:p>
        </w:tc>
        <w:tc>
          <w:tcPr>
            <w:tcW w:w="526" w:type="pct"/>
            <w:vMerge w:val="continue"/>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798"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6" w:type="pct"/>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798"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6" w:type="pct"/>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798"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6" w:type="pct"/>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shd w:val="clear" w:color="auto" w:fill="auto"/>
            <w:vAlign w:val="center"/>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798"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5" w:type="pct"/>
            <w:shd w:val="clear" w:color="auto" w:fill="auto"/>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c>
          <w:tcPr>
            <w:tcW w:w="526" w:type="pct"/>
          </w:tcPr>
          <w:p>
            <w:pPr>
              <w:pStyle w:val="22"/>
              <w:spacing w:beforeLines="0" w:after="0" w:afterLines="0" w:line="360" w:lineRule="auto"/>
              <w:ind w:firstLine="0" w:firstLineChars="0"/>
              <w:jc w:val="center"/>
              <w:rPr>
                <w:rFonts w:ascii="仿宋" w:hAnsi="仿宋" w:eastAsia="仿宋" w:cs="仿宋"/>
                <w:color w:val="auto"/>
                <w:kern w:val="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00" w:type="pct"/>
            <w:gridSpan w:val="9"/>
            <w:shd w:val="clear" w:color="auto" w:fill="auto"/>
            <w:vAlign w:val="center"/>
          </w:tcPr>
          <w:p>
            <w:pPr>
              <w:pStyle w:val="22"/>
              <w:spacing w:beforeLines="0" w:after="0" w:afterLines="0" w:line="360" w:lineRule="auto"/>
              <w:ind w:firstLine="0" w:firstLineChars="0"/>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本项目一旦我单位中标，将实行项目负责人制，并配备上述管理机构，我方保证填报内容真实，若不真实，愿按有关规定接受处理。</w:t>
            </w:r>
          </w:p>
        </w:tc>
      </w:tr>
    </w:tbl>
    <w:p>
      <w:pPr>
        <w:outlineLvl w:val="1"/>
        <w:rPr>
          <w:rFonts w:ascii="仿宋" w:hAnsi="仿宋" w:eastAsia="仿宋" w:cs="仿宋"/>
          <w:b/>
          <w:bCs/>
          <w:sz w:val="32"/>
          <w:szCs w:val="32"/>
        </w:rPr>
      </w:pPr>
      <w:r>
        <w:rPr>
          <w:rFonts w:hint="eastAsia" w:ascii="仿宋" w:hAnsi="仿宋" w:eastAsia="仿宋" w:cs="仿宋"/>
          <w:b/>
          <w:bCs/>
          <w:sz w:val="32"/>
          <w:szCs w:val="32"/>
        </w:rPr>
        <w:t>四、质量标准</w:t>
      </w:r>
    </w:p>
    <w:p>
      <w:pPr>
        <w:pStyle w:val="22"/>
        <w:spacing w:beforeLines="0" w:after="0" w:afterLines="0" w:line="360" w:lineRule="auto"/>
        <w:ind w:firstLine="0" w:firstLineChars="0"/>
        <w:jc w:val="both"/>
        <w:rPr>
          <w:rFonts w:ascii="仿宋" w:hAnsi="仿宋" w:eastAsia="仿宋" w:cs="仿宋"/>
          <w:color w:val="auto"/>
          <w:kern w:val="2"/>
          <w:szCs w:val="28"/>
          <w:lang w:eastAsia="zh-CN"/>
        </w:rPr>
      </w:pPr>
      <w:r>
        <w:rPr>
          <w:rFonts w:ascii="仿宋" w:hAnsi="仿宋" w:eastAsia="仿宋" w:cs="仿宋"/>
          <w:b/>
          <w:bCs/>
          <w:color w:val="auto"/>
          <w:szCs w:val="28"/>
          <w:lang w:eastAsia="zh-CN"/>
        </w:rPr>
        <w:t>4</w:t>
      </w:r>
      <w:r>
        <w:rPr>
          <w:rFonts w:hint="eastAsia" w:ascii="仿宋" w:hAnsi="仿宋" w:eastAsia="仿宋" w:cs="仿宋"/>
          <w:b/>
          <w:bCs/>
          <w:color w:val="auto"/>
          <w:szCs w:val="28"/>
          <w:lang w:eastAsia="zh-CN"/>
        </w:rPr>
        <w:t>.</w:t>
      </w:r>
      <w:r>
        <w:rPr>
          <w:rFonts w:ascii="仿宋" w:hAnsi="仿宋" w:eastAsia="仿宋" w:cs="仿宋"/>
          <w:b/>
          <w:bCs/>
          <w:color w:val="auto"/>
          <w:szCs w:val="28"/>
          <w:lang w:eastAsia="zh-CN"/>
        </w:rPr>
        <w:t>1</w:t>
      </w:r>
      <w:r>
        <w:rPr>
          <w:rFonts w:hint="eastAsia" w:ascii="仿宋" w:hAnsi="仿宋" w:eastAsia="仿宋" w:cs="仿宋"/>
          <w:b/>
          <w:bCs/>
          <w:color w:val="auto"/>
          <w:szCs w:val="28"/>
          <w:lang w:eastAsia="zh-CN"/>
        </w:rPr>
        <w:t xml:space="preserve"> 工程造价咨询成果文件应符合：</w:t>
      </w:r>
      <w:r>
        <w:rPr>
          <w:rFonts w:hint="eastAsia" w:ascii="仿宋" w:hAnsi="仿宋" w:eastAsia="仿宋" w:cs="仿宋"/>
          <w:color w:val="auto"/>
          <w:kern w:val="2"/>
          <w:szCs w:val="28"/>
          <w:lang w:eastAsia="zh-CN"/>
        </w:rPr>
        <w:t>造价咨询质量必须符合国家、省市规定的造价咨询服务标准，工作质量及咨询成果文件符合</w:t>
      </w:r>
      <w:r>
        <w:rPr>
          <w:rFonts w:ascii="仿宋" w:hAnsi="仿宋" w:eastAsia="仿宋" w:cs="仿宋"/>
          <w:color w:val="auto"/>
          <w:kern w:val="2"/>
          <w:szCs w:val="28"/>
          <w:lang w:eastAsia="zh-CN"/>
        </w:rPr>
        <w:t>《建设工程造价咨询规范》(GB/T 51095-2015)</w:t>
      </w:r>
      <w:r>
        <w:rPr>
          <w:rFonts w:hint="eastAsia" w:ascii="仿宋" w:hAnsi="仿宋" w:eastAsia="仿宋" w:cs="仿宋"/>
          <w:color w:val="auto"/>
          <w:kern w:val="2"/>
          <w:szCs w:val="28"/>
          <w:lang w:eastAsia="zh-CN"/>
        </w:rPr>
        <w:t>、《建设工程造价咨询成果文件质量标准》CECA/</w:t>
      </w:r>
      <w:r>
        <w:rPr>
          <w:rFonts w:ascii="仿宋" w:hAnsi="仿宋" w:eastAsia="仿宋" w:cs="仿宋"/>
          <w:color w:val="auto"/>
          <w:kern w:val="2"/>
          <w:szCs w:val="28"/>
          <w:lang w:eastAsia="zh-CN"/>
        </w:rPr>
        <w:t>G</w:t>
      </w:r>
      <w:r>
        <w:rPr>
          <w:rFonts w:hint="eastAsia" w:ascii="仿宋" w:hAnsi="仿宋" w:eastAsia="仿宋" w:cs="仿宋"/>
          <w:color w:val="auto"/>
          <w:kern w:val="2"/>
          <w:szCs w:val="28"/>
          <w:lang w:eastAsia="zh-CN"/>
        </w:rPr>
        <w:t>C7-2012、《建设工程工程量清单计价规范》（GB50500-2013）等现行国家、地方或行业有关规定、标准、规范的要求。提交项目所需的各项成果资料质量应达到评审合格要求，中标人对其质量负责。严格维护招标人的合法利益，误差率控制±3%以内。</w:t>
      </w:r>
    </w:p>
    <w:p>
      <w:pPr>
        <w:pStyle w:val="22"/>
        <w:spacing w:beforeLines="0" w:after="0" w:afterLines="0" w:line="360" w:lineRule="auto"/>
        <w:ind w:firstLine="0" w:firstLineChars="0"/>
        <w:jc w:val="both"/>
        <w:rPr>
          <w:rFonts w:ascii="仿宋" w:hAnsi="仿宋" w:eastAsia="仿宋" w:cs="仿宋"/>
          <w:color w:val="auto"/>
          <w:kern w:val="2"/>
          <w:szCs w:val="28"/>
          <w:lang w:eastAsia="zh-CN"/>
        </w:rPr>
      </w:pPr>
      <w:r>
        <w:rPr>
          <w:rFonts w:ascii="仿宋" w:hAnsi="仿宋" w:eastAsia="仿宋" w:cs="仿宋"/>
          <w:b/>
          <w:bCs/>
          <w:color w:val="auto"/>
          <w:szCs w:val="28"/>
          <w:lang w:eastAsia="zh-CN"/>
        </w:rPr>
        <w:t>4</w:t>
      </w:r>
      <w:r>
        <w:rPr>
          <w:rFonts w:hint="eastAsia" w:ascii="仿宋" w:hAnsi="仿宋" w:eastAsia="仿宋" w:cs="仿宋"/>
          <w:b/>
          <w:bCs/>
          <w:color w:val="auto"/>
          <w:szCs w:val="28"/>
          <w:lang w:eastAsia="zh-CN"/>
        </w:rPr>
        <w:t>.</w:t>
      </w:r>
      <w:r>
        <w:rPr>
          <w:rFonts w:ascii="仿宋" w:hAnsi="仿宋" w:eastAsia="仿宋" w:cs="仿宋"/>
          <w:b/>
          <w:bCs/>
          <w:color w:val="auto"/>
          <w:szCs w:val="28"/>
          <w:lang w:eastAsia="zh-CN"/>
        </w:rPr>
        <w:t>2</w:t>
      </w:r>
      <w:r>
        <w:rPr>
          <w:rFonts w:hint="eastAsia" w:ascii="仿宋" w:hAnsi="仿宋" w:eastAsia="仿宋" w:cs="仿宋"/>
          <w:b/>
          <w:bCs/>
          <w:color w:val="auto"/>
          <w:szCs w:val="28"/>
          <w:lang w:eastAsia="zh-CN"/>
        </w:rPr>
        <w:t xml:space="preserve"> 适用的其他规范性文件包括：</w:t>
      </w:r>
      <w:r>
        <w:rPr>
          <w:rFonts w:hint="eastAsia" w:ascii="仿宋" w:hAnsi="仿宋" w:eastAsia="仿宋" w:cs="仿宋"/>
          <w:color w:val="auto"/>
          <w:kern w:val="2"/>
          <w:szCs w:val="28"/>
          <w:lang w:eastAsia="zh-CN"/>
        </w:rPr>
        <w:t>《中华人民共和国招投标法》、《中华人民共和国民法典》、《中华人民共和国建筑法》、《房屋建筑与装饰工程工程量计算规范》GB50854-2013、《通用安装工程工程量计算规范》GB50856-2013、《建设工程定额管理办法》（建标〔2015〕230号）、《广东省建设工程造价管理规定》（粤府令第205号）、《广东省房屋建筑和市政修缮工程综合定额(2012)》、《广东省建设工程计价依据（2018）》、《广东省房屋建筑与装饰工程综合定额（2018）》、《广东省市政工程综合定额（2018）》、</w:t>
      </w:r>
      <w:r>
        <w:rPr>
          <w:rFonts w:ascii="仿宋" w:hAnsi="仿宋" w:eastAsia="仿宋" w:cs="仿宋"/>
          <w:color w:val="auto"/>
          <w:kern w:val="2"/>
          <w:szCs w:val="28"/>
          <w:lang w:eastAsia="zh-CN"/>
        </w:rPr>
        <w:t>第八册《市政设施养护维修工程》</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粤建标〔2022〕148号</w:t>
      </w:r>
      <w:r>
        <w:rPr>
          <w:rFonts w:hint="eastAsia" w:ascii="仿宋" w:hAnsi="仿宋" w:eastAsia="仿宋" w:cs="仿宋"/>
          <w:color w:val="auto"/>
          <w:kern w:val="2"/>
          <w:szCs w:val="28"/>
          <w:lang w:eastAsia="zh-CN"/>
        </w:rPr>
        <w:t>）、《广东省通用安装工程综合定额（2018）》、《广东省园林绿化工程综合定额（2018）》、《广东省建设工程施工机具台班费用编制规则（2018）》等国家法律法规、广东省行政主管部门下发的有关建设工程造价咨询方面的文件、规定</w:t>
      </w:r>
      <w:r>
        <w:rPr>
          <w:rFonts w:ascii="仿宋" w:hAnsi="仿宋" w:eastAsia="仿宋" w:cs="仿宋"/>
          <w:color w:val="auto"/>
          <w:kern w:val="2"/>
          <w:szCs w:val="28"/>
          <w:lang w:eastAsia="zh-CN"/>
        </w:rPr>
        <w:t xml:space="preserve"> </w:t>
      </w:r>
      <w:r>
        <w:rPr>
          <w:rFonts w:hint="eastAsia" w:ascii="仿宋" w:hAnsi="仿宋" w:eastAsia="仿宋" w:cs="仿宋"/>
          <w:color w:val="auto"/>
          <w:kern w:val="2"/>
          <w:szCs w:val="28"/>
          <w:lang w:eastAsia="zh-CN"/>
        </w:rPr>
        <w:t>。</w:t>
      </w:r>
    </w:p>
    <w:p>
      <w:pPr>
        <w:outlineLvl w:val="1"/>
        <w:rPr>
          <w:rFonts w:ascii="仿宋" w:hAnsi="仿宋" w:eastAsia="仿宋" w:cs="仿宋"/>
          <w:b/>
          <w:bCs/>
          <w:sz w:val="32"/>
          <w:szCs w:val="32"/>
        </w:rPr>
      </w:pPr>
      <w:r>
        <w:rPr>
          <w:rFonts w:hint="eastAsia" w:ascii="仿宋" w:hAnsi="仿宋" w:eastAsia="仿宋" w:cs="仿宋"/>
          <w:b/>
          <w:bCs/>
          <w:sz w:val="32"/>
          <w:szCs w:val="32"/>
        </w:rPr>
        <w:t>五、工作要求（包括但不限于以下内容）</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1</w:t>
      </w:r>
      <w:r>
        <w:rPr>
          <w:rFonts w:hint="eastAsia" w:ascii="仿宋" w:hAnsi="仿宋" w:eastAsia="仿宋" w:cs="仿宋"/>
          <w:color w:val="auto"/>
          <w:kern w:val="2"/>
          <w:szCs w:val="28"/>
          <w:lang w:eastAsia="zh-CN"/>
        </w:rPr>
        <w:t>）中标人的概（</w:t>
      </w:r>
      <w:r>
        <w:rPr>
          <w:rFonts w:ascii="仿宋" w:hAnsi="仿宋" w:eastAsia="仿宋" w:cs="仿宋"/>
          <w:color w:val="auto"/>
          <w:kern w:val="2"/>
          <w:szCs w:val="28"/>
          <w:lang w:eastAsia="zh-CN"/>
        </w:rPr>
        <w:t>预</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算</w:t>
      </w:r>
      <w:r>
        <w:rPr>
          <w:rFonts w:hint="eastAsia" w:ascii="仿宋" w:hAnsi="仿宋" w:eastAsia="仿宋" w:cs="仿宋"/>
          <w:color w:val="auto"/>
          <w:kern w:val="2"/>
          <w:szCs w:val="28"/>
          <w:lang w:eastAsia="zh-CN"/>
        </w:rPr>
        <w:t>审核</w:t>
      </w:r>
      <w:r>
        <w:rPr>
          <w:rFonts w:ascii="仿宋" w:hAnsi="仿宋" w:eastAsia="仿宋" w:cs="仿宋"/>
          <w:color w:val="auto"/>
          <w:kern w:val="2"/>
          <w:szCs w:val="28"/>
          <w:lang w:eastAsia="zh-CN"/>
        </w:rPr>
        <w:t>工作在收到</w:t>
      </w:r>
      <w:r>
        <w:rPr>
          <w:rFonts w:hint="eastAsia" w:ascii="仿宋" w:hAnsi="仿宋" w:eastAsia="仿宋" w:cs="仿宋"/>
          <w:color w:val="auto"/>
          <w:kern w:val="2"/>
          <w:szCs w:val="28"/>
          <w:lang w:eastAsia="zh-CN"/>
        </w:rPr>
        <w:t>概（预）算送审资料后</w:t>
      </w:r>
      <w:r>
        <w:rPr>
          <w:rFonts w:ascii="仿宋" w:hAnsi="仿宋" w:eastAsia="仿宋" w:cs="仿宋"/>
          <w:color w:val="auto"/>
          <w:kern w:val="2"/>
          <w:szCs w:val="28"/>
          <w:lang w:eastAsia="zh-CN"/>
        </w:rPr>
        <w:t xml:space="preserve"> 7日内完成</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清单、</w:t>
      </w:r>
      <w:r>
        <w:rPr>
          <w:rFonts w:hint="eastAsia" w:ascii="仿宋" w:hAnsi="仿宋" w:eastAsia="仿宋" w:cs="仿宋"/>
          <w:color w:val="auto"/>
          <w:kern w:val="2"/>
          <w:szCs w:val="28"/>
          <w:lang w:eastAsia="zh-CN"/>
        </w:rPr>
        <w:t>概（</w:t>
      </w:r>
      <w:r>
        <w:rPr>
          <w:rFonts w:ascii="仿宋" w:hAnsi="仿宋" w:eastAsia="仿宋" w:cs="仿宋"/>
          <w:color w:val="auto"/>
          <w:kern w:val="2"/>
          <w:szCs w:val="28"/>
          <w:lang w:eastAsia="zh-CN"/>
        </w:rPr>
        <w:t>预</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算价编制在收到图纸或现场踏勘结束（</w:t>
      </w:r>
      <w:r>
        <w:rPr>
          <w:rFonts w:hint="eastAsia" w:ascii="仿宋" w:hAnsi="仿宋" w:eastAsia="仿宋" w:cs="仿宋"/>
          <w:color w:val="auto"/>
          <w:kern w:val="2"/>
          <w:szCs w:val="28"/>
          <w:lang w:eastAsia="zh-CN"/>
        </w:rPr>
        <w:t>若需现场踏勘</w:t>
      </w:r>
      <w:r>
        <w:rPr>
          <w:rFonts w:ascii="仿宋" w:hAnsi="仿宋" w:eastAsia="仿宋" w:cs="仿宋"/>
          <w:color w:val="auto"/>
          <w:kern w:val="2"/>
          <w:szCs w:val="28"/>
          <w:lang w:eastAsia="zh-CN"/>
        </w:rPr>
        <w:t>）10日内完成</w:t>
      </w:r>
      <w:r>
        <w:rPr>
          <w:rFonts w:hint="eastAsia" w:ascii="仿宋" w:hAnsi="仿宋" w:eastAsia="仿宋" w:cs="仿宋"/>
          <w:color w:val="auto"/>
          <w:kern w:val="2"/>
          <w:szCs w:val="28"/>
          <w:lang w:eastAsia="zh-CN"/>
        </w:rPr>
        <w:t>，出具工程量清单编制或审核成果纸质文件2份、工程概（预）算价编制或审核成果纸质文件2份，电子版1份（广联达软件版、E</w:t>
      </w:r>
      <w:r>
        <w:rPr>
          <w:rFonts w:ascii="仿宋" w:hAnsi="仿宋" w:eastAsia="仿宋" w:cs="仿宋"/>
          <w:color w:val="auto"/>
          <w:kern w:val="2"/>
          <w:szCs w:val="28"/>
          <w:lang w:eastAsia="zh-CN"/>
        </w:rPr>
        <w:t>XCEL</w:t>
      </w:r>
      <w:r>
        <w:rPr>
          <w:rFonts w:hint="eastAsia" w:ascii="仿宋" w:hAnsi="仿宋" w:eastAsia="仿宋" w:cs="仿宋"/>
          <w:color w:val="auto"/>
          <w:kern w:val="2"/>
          <w:szCs w:val="28"/>
          <w:lang w:eastAsia="zh-CN"/>
        </w:rPr>
        <w:t>文件），工程概（预）算应附项目综合单价分析表、措施项目分析表、主要材料数量及价格（参考价格）清单、主要设备数量及价格（参考价格）清单。</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2）中标人的结</w:t>
      </w:r>
      <w:r>
        <w:rPr>
          <w:rFonts w:ascii="仿宋" w:hAnsi="仿宋" w:eastAsia="仿宋" w:cs="仿宋"/>
          <w:color w:val="auto"/>
          <w:kern w:val="2"/>
          <w:szCs w:val="28"/>
          <w:lang w:eastAsia="zh-CN"/>
        </w:rPr>
        <w:t>算</w:t>
      </w:r>
      <w:r>
        <w:rPr>
          <w:rFonts w:hint="eastAsia" w:ascii="仿宋" w:hAnsi="仿宋" w:eastAsia="仿宋" w:cs="仿宋"/>
          <w:color w:val="auto"/>
          <w:kern w:val="2"/>
          <w:szCs w:val="28"/>
          <w:lang w:eastAsia="zh-CN"/>
        </w:rPr>
        <w:t>审核</w:t>
      </w:r>
      <w:r>
        <w:rPr>
          <w:rFonts w:ascii="仿宋" w:hAnsi="仿宋" w:eastAsia="仿宋" w:cs="仿宋"/>
          <w:color w:val="auto"/>
          <w:kern w:val="2"/>
          <w:szCs w:val="28"/>
          <w:lang w:eastAsia="zh-CN"/>
        </w:rPr>
        <w:t>工作在收到</w:t>
      </w:r>
      <w:r>
        <w:rPr>
          <w:rFonts w:hint="eastAsia" w:ascii="仿宋" w:hAnsi="仿宋" w:eastAsia="仿宋" w:cs="仿宋"/>
          <w:color w:val="auto"/>
          <w:kern w:val="2"/>
          <w:szCs w:val="28"/>
          <w:lang w:eastAsia="zh-CN"/>
        </w:rPr>
        <w:t>结算送审资料后</w:t>
      </w:r>
      <w:r>
        <w:rPr>
          <w:rFonts w:ascii="仿宋" w:hAnsi="仿宋" w:eastAsia="仿宋" w:cs="仿宋"/>
          <w:color w:val="auto"/>
          <w:kern w:val="2"/>
          <w:szCs w:val="28"/>
          <w:lang w:eastAsia="zh-CN"/>
        </w:rPr>
        <w:t xml:space="preserve"> 10日内完成</w:t>
      </w:r>
      <w:r>
        <w:rPr>
          <w:rFonts w:hint="eastAsia" w:ascii="仿宋" w:hAnsi="仿宋" w:eastAsia="仿宋" w:cs="仿宋"/>
          <w:color w:val="auto"/>
          <w:kern w:val="2"/>
          <w:szCs w:val="28"/>
          <w:lang w:eastAsia="zh-CN"/>
        </w:rPr>
        <w:t>，出具工程量清单成果纸质文件</w:t>
      </w: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份和工程结算审核报告</w:t>
      </w: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份，电子版1份（广联达软件版、E</w:t>
      </w:r>
      <w:r>
        <w:rPr>
          <w:rFonts w:ascii="仿宋" w:hAnsi="仿宋" w:eastAsia="仿宋" w:cs="仿宋"/>
          <w:color w:val="auto"/>
          <w:kern w:val="2"/>
          <w:szCs w:val="28"/>
          <w:lang w:eastAsia="zh-CN"/>
        </w:rPr>
        <w:t>XCEL</w:t>
      </w:r>
      <w:r>
        <w:rPr>
          <w:rFonts w:hint="eastAsia" w:ascii="仿宋" w:hAnsi="仿宋" w:eastAsia="仿宋" w:cs="仿宋"/>
          <w:color w:val="auto"/>
          <w:kern w:val="2"/>
          <w:szCs w:val="28"/>
          <w:lang w:eastAsia="zh-CN"/>
        </w:rPr>
        <w:t>文件），工程结算应附项目综合单价分析表、措施项目分析表、主要材料数量及价格（参考价格）清单、主要设备数量及价格（参考价格）清单 。</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3</w:t>
      </w:r>
      <w:r>
        <w:rPr>
          <w:rFonts w:hint="eastAsia" w:ascii="仿宋" w:hAnsi="仿宋" w:eastAsia="仿宋" w:cs="仿宋"/>
          <w:color w:val="auto"/>
          <w:kern w:val="2"/>
          <w:szCs w:val="28"/>
          <w:lang w:eastAsia="zh-CN"/>
        </w:rPr>
        <w:t>）中标人承诺提供的各单个项目的咨询服务质量负责，误差率控制±3%以内，否则视为中标人违约，中标人将承担责任及违约金额。</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）在单个项目编制或</w:t>
      </w:r>
      <w:r>
        <w:rPr>
          <w:rFonts w:ascii="仿宋" w:hAnsi="仿宋" w:eastAsia="仿宋" w:cs="仿宋"/>
          <w:color w:val="auto"/>
          <w:kern w:val="2"/>
          <w:szCs w:val="28"/>
          <w:lang w:eastAsia="zh-CN"/>
        </w:rPr>
        <w:t>审核的误差率要求</w:t>
      </w:r>
      <w:r>
        <w:rPr>
          <w:rFonts w:hint="eastAsia" w:ascii="仿宋" w:hAnsi="仿宋" w:eastAsia="仿宋" w:cs="仿宋"/>
          <w:color w:val="auto"/>
          <w:kern w:val="2"/>
          <w:szCs w:val="28"/>
          <w:lang w:eastAsia="zh-CN"/>
        </w:rPr>
        <w:t>不超过3</w:t>
      </w:r>
      <w:r>
        <w:rPr>
          <w:rFonts w:ascii="仿宋" w:hAnsi="仿宋" w:eastAsia="仿宋" w:cs="仿宋"/>
          <w:color w:val="auto"/>
          <w:kern w:val="2"/>
          <w:szCs w:val="28"/>
          <w:lang w:eastAsia="zh-CN"/>
        </w:rPr>
        <w:t>%，</w:t>
      </w:r>
      <w:r>
        <w:rPr>
          <w:rFonts w:hint="eastAsia" w:ascii="仿宋" w:hAnsi="仿宋" w:eastAsia="仿宋" w:cs="仿宋"/>
          <w:color w:val="auto"/>
          <w:kern w:val="2"/>
          <w:szCs w:val="28"/>
          <w:lang w:eastAsia="zh-CN"/>
        </w:rPr>
        <w:t>编制或</w:t>
      </w:r>
      <w:r>
        <w:rPr>
          <w:rFonts w:ascii="仿宋" w:hAnsi="仿宋" w:eastAsia="仿宋" w:cs="仿宋"/>
          <w:color w:val="auto"/>
          <w:kern w:val="2"/>
          <w:szCs w:val="28"/>
          <w:lang w:eastAsia="zh-CN"/>
        </w:rPr>
        <w:t>审核结论误差率i（误差是指由于</w:t>
      </w:r>
      <w:r>
        <w:rPr>
          <w:rFonts w:hint="eastAsia" w:ascii="仿宋" w:hAnsi="仿宋" w:eastAsia="仿宋" w:cs="仿宋"/>
          <w:color w:val="auto"/>
          <w:kern w:val="2"/>
          <w:szCs w:val="28"/>
          <w:lang w:eastAsia="zh-CN"/>
        </w:rPr>
        <w:t>中标人</w:t>
      </w:r>
      <w:r>
        <w:rPr>
          <w:rFonts w:ascii="仿宋" w:hAnsi="仿宋" w:eastAsia="仿宋" w:cs="仿宋"/>
          <w:color w:val="auto"/>
          <w:kern w:val="2"/>
          <w:szCs w:val="28"/>
          <w:lang w:eastAsia="zh-CN"/>
        </w:rPr>
        <w:t>的责任造成的差错。如错套定额、重项、漏项、工程量计算错误、高估冒算、没有到现场核实或现场核实不到位导致造价失实等）超过±3%（不含3%）的，将按以下规定处理：</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w:t>
      </w:r>
      <w:r>
        <w:rPr>
          <w:rFonts w:ascii="仿宋" w:hAnsi="仿宋" w:eastAsia="仿宋" w:cs="仿宋"/>
          <w:color w:val="auto"/>
          <w:kern w:val="2"/>
          <w:szCs w:val="28"/>
          <w:lang w:eastAsia="zh-CN"/>
        </w:rPr>
        <w:t>3%＜i≤4%，扣除</w:t>
      </w:r>
      <w:r>
        <w:rPr>
          <w:rFonts w:hint="eastAsia" w:ascii="仿宋" w:hAnsi="仿宋" w:eastAsia="仿宋" w:cs="仿宋"/>
          <w:color w:val="auto"/>
          <w:kern w:val="2"/>
          <w:szCs w:val="28"/>
          <w:lang w:eastAsia="zh-CN"/>
        </w:rPr>
        <w:t>单个项目咨询</w:t>
      </w:r>
      <w:r>
        <w:rPr>
          <w:rFonts w:ascii="仿宋" w:hAnsi="仿宋" w:eastAsia="仿宋" w:cs="仿宋"/>
          <w:color w:val="auto"/>
          <w:kern w:val="2"/>
          <w:szCs w:val="28"/>
          <w:lang w:eastAsia="zh-CN"/>
        </w:rPr>
        <w:t>服务费的5%；</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4%＜i≤5%，扣除</w:t>
      </w:r>
      <w:r>
        <w:rPr>
          <w:rFonts w:hint="eastAsia" w:ascii="仿宋" w:hAnsi="仿宋" w:eastAsia="仿宋" w:cs="仿宋"/>
          <w:color w:val="auto"/>
          <w:kern w:val="2"/>
          <w:szCs w:val="28"/>
          <w:lang w:eastAsia="zh-CN"/>
        </w:rPr>
        <w:t>单个项目咨询</w:t>
      </w:r>
      <w:r>
        <w:rPr>
          <w:rFonts w:ascii="仿宋" w:hAnsi="仿宋" w:eastAsia="仿宋" w:cs="仿宋"/>
          <w:color w:val="auto"/>
          <w:kern w:val="2"/>
          <w:szCs w:val="28"/>
          <w:lang w:eastAsia="zh-CN"/>
        </w:rPr>
        <w:t>服务费的10%；</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3</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5%＜i≤6%，扣除</w:t>
      </w:r>
      <w:r>
        <w:rPr>
          <w:rFonts w:hint="eastAsia" w:ascii="仿宋" w:hAnsi="仿宋" w:eastAsia="仿宋" w:cs="仿宋"/>
          <w:color w:val="auto"/>
          <w:kern w:val="2"/>
          <w:szCs w:val="28"/>
          <w:lang w:eastAsia="zh-CN"/>
        </w:rPr>
        <w:t>单个项目咨询</w:t>
      </w:r>
      <w:r>
        <w:rPr>
          <w:rFonts w:ascii="仿宋" w:hAnsi="仿宋" w:eastAsia="仿宋" w:cs="仿宋"/>
          <w:color w:val="auto"/>
          <w:kern w:val="2"/>
          <w:szCs w:val="28"/>
          <w:lang w:eastAsia="zh-CN"/>
        </w:rPr>
        <w:t>服务费的30%</w:t>
      </w:r>
      <w:r>
        <w:rPr>
          <w:rFonts w:hint="eastAsia" w:ascii="仿宋" w:hAnsi="仿宋" w:eastAsia="仿宋" w:cs="仿宋"/>
          <w:color w:val="auto"/>
          <w:kern w:val="2"/>
          <w:szCs w:val="28"/>
          <w:lang w:eastAsia="zh-CN"/>
        </w:rPr>
        <w:t>；</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i＞6%，扣除</w:t>
      </w:r>
      <w:r>
        <w:rPr>
          <w:rFonts w:hint="eastAsia" w:ascii="仿宋" w:hAnsi="仿宋" w:eastAsia="仿宋" w:cs="仿宋"/>
          <w:color w:val="auto"/>
          <w:kern w:val="2"/>
          <w:szCs w:val="28"/>
          <w:lang w:eastAsia="zh-CN"/>
        </w:rPr>
        <w:t>单个项目咨询</w:t>
      </w:r>
      <w:r>
        <w:rPr>
          <w:rFonts w:ascii="仿宋" w:hAnsi="仿宋" w:eastAsia="仿宋" w:cs="仿宋"/>
          <w:color w:val="auto"/>
          <w:kern w:val="2"/>
          <w:szCs w:val="28"/>
          <w:lang w:eastAsia="zh-CN"/>
        </w:rPr>
        <w:t>服务费</w:t>
      </w:r>
      <w:r>
        <w:rPr>
          <w:rFonts w:hint="eastAsia" w:ascii="仿宋" w:hAnsi="仿宋" w:eastAsia="仿宋" w:cs="仿宋"/>
          <w:color w:val="auto"/>
          <w:kern w:val="2"/>
          <w:szCs w:val="28"/>
          <w:lang w:eastAsia="zh-CN"/>
        </w:rPr>
        <w:t>的1</w:t>
      </w:r>
      <w:r>
        <w:rPr>
          <w:rFonts w:ascii="仿宋" w:hAnsi="仿宋" w:eastAsia="仿宋" w:cs="仿宋"/>
          <w:color w:val="auto"/>
          <w:kern w:val="2"/>
          <w:szCs w:val="28"/>
          <w:lang w:eastAsia="zh-CN"/>
        </w:rPr>
        <w:t>00%。</w:t>
      </w:r>
    </w:p>
    <w:p>
      <w:pPr>
        <w:pStyle w:val="22"/>
        <w:spacing w:beforeLines="0" w:after="0" w:afterLines="0" w:line="360" w:lineRule="auto"/>
        <w:ind w:firstLine="560"/>
        <w:jc w:val="both"/>
        <w:rPr>
          <w:rFonts w:ascii="仿宋" w:hAnsi="仿宋" w:eastAsia="仿宋" w:cs="仿宋"/>
          <w:color w:val="auto"/>
          <w:kern w:val="2"/>
          <w:szCs w:val="28"/>
          <w:highlight w:val="none"/>
          <w:lang w:eastAsia="zh-CN"/>
        </w:rPr>
      </w:pPr>
      <w:r>
        <w:rPr>
          <w:rFonts w:hint="eastAsia" w:ascii="仿宋" w:hAnsi="仿宋" w:eastAsia="仿宋" w:cs="仿宋"/>
          <w:color w:val="auto"/>
          <w:kern w:val="2"/>
          <w:szCs w:val="28"/>
          <w:highlight w:val="none"/>
          <w:lang w:eastAsia="zh-CN"/>
        </w:rPr>
        <w:t>误差率=[(咨询人递交编制或审核造价-委托人最终审定造价)/委托人最终审定造价]×100%。</w:t>
      </w:r>
    </w:p>
    <w:p>
      <w:pPr>
        <w:pStyle w:val="22"/>
        <w:spacing w:beforeLines="0" w:after="0" w:afterLines="0" w:line="360" w:lineRule="auto"/>
        <w:ind w:firstLine="560"/>
        <w:jc w:val="both"/>
        <w:rPr>
          <w:rFonts w:ascii="仿宋" w:hAnsi="仿宋" w:eastAsia="仿宋" w:cs="仿宋"/>
          <w:color w:val="auto"/>
          <w:kern w:val="2"/>
          <w:szCs w:val="28"/>
          <w:highlight w:val="none"/>
          <w:lang w:eastAsia="zh-CN"/>
        </w:rPr>
      </w:pPr>
      <w:r>
        <w:rPr>
          <w:rFonts w:hint="eastAsia" w:ascii="仿宋" w:hAnsi="仿宋" w:eastAsia="仿宋" w:cs="仿宋"/>
          <w:color w:val="auto"/>
          <w:kern w:val="2"/>
          <w:szCs w:val="28"/>
          <w:highlight w:val="none"/>
          <w:lang w:eastAsia="zh-CN"/>
        </w:rPr>
        <w:t>注：“委托人最终审定造价”为学校或学校其他造价咨询合作单位最终审定的造价。</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5</w:t>
      </w:r>
      <w:r>
        <w:rPr>
          <w:rFonts w:hint="eastAsia" w:ascii="仿宋" w:hAnsi="仿宋" w:eastAsia="仿宋" w:cs="仿宋"/>
          <w:color w:val="auto"/>
          <w:kern w:val="2"/>
          <w:szCs w:val="28"/>
          <w:lang w:eastAsia="zh-CN"/>
        </w:rPr>
        <w:t>）在</w:t>
      </w:r>
      <w:r>
        <w:rPr>
          <w:rFonts w:ascii="仿宋" w:hAnsi="仿宋" w:eastAsia="仿宋" w:cs="仿宋"/>
          <w:color w:val="auto"/>
          <w:kern w:val="2"/>
          <w:szCs w:val="28"/>
          <w:lang w:eastAsia="zh-CN"/>
        </w:rPr>
        <w:t>概</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预</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算</w:t>
      </w:r>
      <w:r>
        <w:rPr>
          <w:rFonts w:hint="eastAsia" w:ascii="仿宋" w:hAnsi="仿宋" w:eastAsia="仿宋" w:cs="仿宋"/>
          <w:color w:val="auto"/>
          <w:kern w:val="2"/>
          <w:szCs w:val="28"/>
          <w:lang w:eastAsia="zh-CN"/>
        </w:rPr>
        <w:t>编制或审核、</w:t>
      </w:r>
      <w:r>
        <w:rPr>
          <w:rFonts w:ascii="仿宋" w:hAnsi="仿宋" w:eastAsia="仿宋" w:cs="仿宋"/>
          <w:color w:val="auto"/>
          <w:kern w:val="2"/>
          <w:szCs w:val="28"/>
          <w:lang w:eastAsia="zh-CN"/>
        </w:rPr>
        <w:t>结算</w:t>
      </w:r>
      <w:r>
        <w:rPr>
          <w:rFonts w:hint="eastAsia" w:ascii="仿宋" w:hAnsi="仿宋" w:eastAsia="仿宋" w:cs="仿宋"/>
          <w:color w:val="auto"/>
          <w:kern w:val="2"/>
          <w:szCs w:val="28"/>
          <w:lang w:eastAsia="zh-CN"/>
        </w:rPr>
        <w:t>审核的工作</w:t>
      </w:r>
      <w:r>
        <w:rPr>
          <w:rFonts w:ascii="仿宋" w:hAnsi="仿宋" w:eastAsia="仿宋" w:cs="仿宋"/>
          <w:color w:val="auto"/>
          <w:kern w:val="2"/>
          <w:szCs w:val="28"/>
          <w:lang w:eastAsia="zh-CN"/>
        </w:rPr>
        <w:t>逾期</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未按规定时间完成委托任务扣减委托服务费。如因</w:t>
      </w:r>
      <w:r>
        <w:rPr>
          <w:rFonts w:hint="eastAsia" w:ascii="仿宋" w:hAnsi="仿宋" w:eastAsia="仿宋" w:cs="仿宋"/>
          <w:color w:val="auto"/>
          <w:kern w:val="2"/>
          <w:szCs w:val="28"/>
          <w:lang w:eastAsia="zh-CN"/>
        </w:rPr>
        <w:t>中标人</w:t>
      </w:r>
      <w:r>
        <w:rPr>
          <w:rFonts w:ascii="仿宋" w:hAnsi="仿宋" w:eastAsia="仿宋" w:cs="仿宋"/>
          <w:color w:val="auto"/>
          <w:kern w:val="2"/>
          <w:szCs w:val="28"/>
          <w:lang w:eastAsia="zh-CN"/>
        </w:rPr>
        <w:t>原因未能约定的时间提交给</w:t>
      </w:r>
      <w:r>
        <w:rPr>
          <w:rFonts w:hint="eastAsia" w:ascii="仿宋" w:hAnsi="仿宋" w:eastAsia="仿宋" w:cs="仿宋"/>
          <w:color w:val="auto"/>
          <w:kern w:val="2"/>
          <w:szCs w:val="28"/>
          <w:lang w:eastAsia="zh-CN"/>
        </w:rPr>
        <w:t>招标人</w:t>
      </w:r>
      <w:r>
        <w:rPr>
          <w:rFonts w:ascii="仿宋" w:hAnsi="仿宋" w:eastAsia="仿宋" w:cs="仿宋"/>
          <w:color w:val="auto"/>
          <w:kern w:val="2"/>
          <w:szCs w:val="28"/>
          <w:lang w:eastAsia="zh-CN"/>
        </w:rPr>
        <w:t>，按如下规定处理：</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w:t>
      </w:r>
      <w:r>
        <w:rPr>
          <w:rFonts w:ascii="仿宋" w:hAnsi="仿宋" w:eastAsia="仿宋" w:cs="仿宋"/>
          <w:color w:val="auto"/>
          <w:kern w:val="2"/>
          <w:szCs w:val="28"/>
          <w:lang w:eastAsia="zh-CN"/>
        </w:rPr>
        <w:t>逾期5天内的，扣减该</w:t>
      </w:r>
      <w:r>
        <w:rPr>
          <w:rFonts w:hint="eastAsia" w:ascii="仿宋" w:hAnsi="仿宋" w:eastAsia="仿宋" w:cs="仿宋"/>
          <w:color w:val="auto"/>
          <w:kern w:val="2"/>
          <w:szCs w:val="28"/>
          <w:lang w:eastAsia="zh-CN"/>
        </w:rPr>
        <w:t>单个</w:t>
      </w:r>
      <w:r>
        <w:rPr>
          <w:rFonts w:ascii="仿宋" w:hAnsi="仿宋" w:eastAsia="仿宋" w:cs="仿宋"/>
          <w:color w:val="auto"/>
          <w:kern w:val="2"/>
          <w:szCs w:val="28"/>
          <w:lang w:eastAsia="zh-CN"/>
        </w:rPr>
        <w:t>项目委托服务费的10%；</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逾期超过5天但未达到10天的，扣减该</w:t>
      </w:r>
      <w:r>
        <w:rPr>
          <w:rFonts w:hint="eastAsia" w:ascii="仿宋" w:hAnsi="仿宋" w:eastAsia="仿宋" w:cs="仿宋"/>
          <w:color w:val="auto"/>
          <w:kern w:val="2"/>
          <w:szCs w:val="28"/>
          <w:lang w:eastAsia="zh-CN"/>
        </w:rPr>
        <w:t>单个</w:t>
      </w:r>
      <w:r>
        <w:rPr>
          <w:rFonts w:ascii="仿宋" w:hAnsi="仿宋" w:eastAsia="仿宋" w:cs="仿宋"/>
          <w:color w:val="auto"/>
          <w:kern w:val="2"/>
          <w:szCs w:val="28"/>
          <w:lang w:eastAsia="zh-CN"/>
        </w:rPr>
        <w:t>项目委托服务费的 30%；</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3</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逾期超过10天但未达到20天的，扣减该</w:t>
      </w:r>
      <w:r>
        <w:rPr>
          <w:rFonts w:hint="eastAsia" w:ascii="仿宋" w:hAnsi="仿宋" w:eastAsia="仿宋" w:cs="仿宋"/>
          <w:color w:val="auto"/>
          <w:kern w:val="2"/>
          <w:szCs w:val="28"/>
          <w:lang w:eastAsia="zh-CN"/>
        </w:rPr>
        <w:t>单个</w:t>
      </w:r>
      <w:r>
        <w:rPr>
          <w:rFonts w:ascii="仿宋" w:hAnsi="仿宋" w:eastAsia="仿宋" w:cs="仿宋"/>
          <w:color w:val="auto"/>
          <w:kern w:val="2"/>
          <w:szCs w:val="28"/>
          <w:lang w:eastAsia="zh-CN"/>
        </w:rPr>
        <w:t>项目委托服务费的 60%；</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4</w:t>
      </w: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逾期超过20天的，除扣减该</w:t>
      </w:r>
      <w:r>
        <w:rPr>
          <w:rFonts w:hint="eastAsia" w:ascii="仿宋" w:hAnsi="仿宋" w:eastAsia="仿宋" w:cs="仿宋"/>
          <w:color w:val="auto"/>
          <w:kern w:val="2"/>
          <w:szCs w:val="28"/>
          <w:lang w:eastAsia="zh-CN"/>
        </w:rPr>
        <w:t>单个</w:t>
      </w:r>
      <w:r>
        <w:rPr>
          <w:rFonts w:ascii="仿宋" w:hAnsi="仿宋" w:eastAsia="仿宋" w:cs="仿宋"/>
          <w:color w:val="auto"/>
          <w:kern w:val="2"/>
          <w:szCs w:val="28"/>
          <w:lang w:eastAsia="zh-CN"/>
        </w:rPr>
        <w:t>项目委托服务费的100%；</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w:t>
      </w:r>
      <w:r>
        <w:rPr>
          <w:rFonts w:ascii="仿宋" w:hAnsi="仿宋" w:eastAsia="仿宋" w:cs="仿宋"/>
          <w:color w:val="auto"/>
          <w:kern w:val="2"/>
          <w:szCs w:val="28"/>
          <w:lang w:eastAsia="zh-CN"/>
        </w:rPr>
        <w:t>5</w:t>
      </w:r>
      <w:r>
        <w:rPr>
          <w:rFonts w:hint="eastAsia" w:ascii="仿宋" w:hAnsi="仿宋" w:eastAsia="仿宋" w:cs="仿宋"/>
          <w:color w:val="auto"/>
          <w:kern w:val="2"/>
          <w:szCs w:val="28"/>
          <w:lang w:eastAsia="zh-CN"/>
        </w:rPr>
        <w:t>）中标人支付逾期完成咨询业务违约金后，不免除中标人继续完成咨询业务的义务。</w:t>
      </w:r>
      <w:r>
        <w:rPr>
          <w:rFonts w:ascii="仿宋" w:hAnsi="仿宋" w:eastAsia="仿宋" w:cs="仿宋"/>
          <w:color w:val="auto"/>
          <w:kern w:val="2"/>
          <w:szCs w:val="28"/>
          <w:lang w:eastAsia="zh-CN"/>
        </w:rPr>
        <w:t>服务服务期内，累计出现三次逾期超过20天的，招标人有权取消其项目工程造价咨询服务资格。</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6</w:t>
      </w:r>
      <w:r>
        <w:rPr>
          <w:rFonts w:hint="eastAsia" w:ascii="仿宋" w:hAnsi="仿宋" w:eastAsia="仿宋" w:cs="仿宋"/>
          <w:color w:val="auto"/>
          <w:kern w:val="2"/>
          <w:szCs w:val="28"/>
          <w:lang w:eastAsia="zh-CN"/>
        </w:rPr>
        <w:t>）中标人不得拒绝承接招标人安排的造价咨询工作，否则视为违约。违约金按</w:t>
      </w:r>
      <w:r>
        <w:rPr>
          <w:rFonts w:hint="eastAsia" w:ascii="仿宋" w:hAnsi="仿宋" w:eastAsia="仿宋" w:cs="仿宋"/>
          <w:bCs/>
          <w:color w:val="auto"/>
          <w:kern w:val="2"/>
          <w:szCs w:val="28"/>
          <w:lang w:eastAsia="zh-CN"/>
        </w:rPr>
        <w:t>立项批复该单个项目金额的1‰计算。</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7</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中标人在招标人规定的时间内，按</w:t>
      </w:r>
      <w:r>
        <w:rPr>
          <w:rFonts w:ascii="仿宋" w:hAnsi="仿宋" w:eastAsia="仿宋" w:cs="仿宋"/>
          <w:bCs/>
          <w:color w:val="auto"/>
          <w:kern w:val="2"/>
          <w:szCs w:val="28"/>
          <w:lang w:eastAsia="zh-CN"/>
        </w:rPr>
        <w:t>设计图纸</w:t>
      </w:r>
      <w:r>
        <w:rPr>
          <w:rFonts w:hint="eastAsia" w:ascii="仿宋" w:hAnsi="仿宋" w:eastAsia="仿宋" w:cs="仿宋"/>
          <w:bCs/>
          <w:color w:val="auto"/>
          <w:kern w:val="2"/>
          <w:szCs w:val="28"/>
          <w:lang w:eastAsia="zh-CN"/>
        </w:rPr>
        <w:t>（含初步设计、施工图设计等）及招标人要求进行工程量清单及概（预）算编制，并与目标成本进行对比分析，出具成果文件，提供建议意见予招标人。中标人依据招标人提供的结算资料、图纸、合同等相关资料对工程结算进行审核(根据图纸和相关资料复核实际工程量及结算金额)，并出具审核报告初稿，提交给招标人评估后，由招标人组织中标人与总承包单位进行核对，由中标人出具审核报告定案稿。招标人根据核对结果最终确定预算价或结算价。</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8</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施工图预算编制过程中，与设计单位关于技术性问题沟通由中标人负责，其费用已考虑在投标报价中。</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9</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中标人</w:t>
      </w:r>
      <w:bookmarkStart w:id="2" w:name="_Hlk129957883"/>
      <w:r>
        <w:rPr>
          <w:rFonts w:hint="eastAsia" w:ascii="仿宋" w:hAnsi="仿宋" w:eastAsia="仿宋" w:cs="仿宋"/>
          <w:bCs/>
          <w:color w:val="auto"/>
          <w:kern w:val="2"/>
          <w:szCs w:val="28"/>
          <w:lang w:eastAsia="zh-CN"/>
        </w:rPr>
        <w:t>派出项目负责人及造价项目组成员</w:t>
      </w:r>
      <w:bookmarkEnd w:id="2"/>
      <w:r>
        <w:rPr>
          <w:rFonts w:hint="eastAsia" w:ascii="仿宋" w:hAnsi="仿宋" w:eastAsia="仿宋" w:cs="仿宋"/>
          <w:bCs/>
          <w:color w:val="auto"/>
          <w:kern w:val="2"/>
          <w:szCs w:val="28"/>
          <w:lang w:eastAsia="zh-CN"/>
        </w:rPr>
        <w:t>，保证项目负责人和项目组成员的稳定，并有义务根据招标人及工作要求进行相关人力资源的补充；任何项目团队成员的变动，中标人必须事先提出书面申请和替补方案，并经招标人（书面）同意后方可实施并保证调整后的人员资历和水平不低于原配人员。</w:t>
      </w:r>
      <w:r>
        <w:rPr>
          <w:rFonts w:hint="eastAsia" w:ascii="仿宋" w:hAnsi="仿宋" w:eastAsia="仿宋" w:cs="仿宋"/>
          <w:color w:val="auto"/>
          <w:kern w:val="2"/>
          <w:szCs w:val="28"/>
          <w:lang w:eastAsia="zh-CN"/>
        </w:rPr>
        <w:t>中标人擅自更换工程造价专业人员的违约责任：更换项目负责人，每次处违约金 1 万元；更换其他造价咨询人员每次处违约金 2000 元。</w:t>
      </w:r>
    </w:p>
    <w:p>
      <w:pPr>
        <w:pStyle w:val="22"/>
        <w:spacing w:beforeLines="0" w:after="0" w:afterLines="0" w:line="360" w:lineRule="auto"/>
        <w:ind w:firstLine="560"/>
        <w:jc w:val="both"/>
        <w:rPr>
          <w:rStyle w:val="24"/>
          <w:rFonts w:ascii="仿宋" w:hAnsi="仿宋" w:eastAsia="仿宋" w:cs="仿宋"/>
          <w:b w:val="0"/>
          <w:bCs w:val="0"/>
          <w:color w:val="auto"/>
          <w:kern w:val="2"/>
          <w:sz w:val="28"/>
          <w:szCs w:val="28"/>
          <w:lang w:eastAsia="zh-CN"/>
        </w:rPr>
      </w:pPr>
      <w:r>
        <w:rPr>
          <w:rFonts w:ascii="仿宋" w:hAnsi="仿宋" w:eastAsia="仿宋" w:cs="仿宋"/>
          <w:color w:val="auto"/>
          <w:kern w:val="2"/>
          <w:szCs w:val="28"/>
          <w:lang w:eastAsia="zh-CN"/>
        </w:rPr>
        <w:t>10</w:t>
      </w:r>
      <w:r>
        <w:rPr>
          <w:rFonts w:hint="eastAsia" w:ascii="仿宋" w:hAnsi="仿宋" w:eastAsia="仿宋" w:cs="仿宋"/>
          <w:color w:val="auto"/>
          <w:kern w:val="2"/>
          <w:szCs w:val="28"/>
          <w:lang w:eastAsia="zh-CN"/>
        </w:rPr>
        <w:t>）中标人应当在本合同签订后的7天内，提交任命的承担本合同咨询业务的工程造价专业人员注册证书和资格证书，以及为工程造价专业人员缴纳的近6个月社会保险有效证明，供招标人核验。中标人违反约定的，承担违约责任，按照项目负责人，每人处违约金 1 万元；其他造价咨询人员每人处违约金 2000 元。</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11</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中标人严格按照质量三级复核制度对结果进行复核，保证按照约定时间出具的成果文件的真实性、客观性、合法性、对工作质量负责。同时，造价咨询成果文件应经招标人认可，如果招标人不认可，中标人须无条件的重新提交合格的成果文件，而不得因此要求增加咨询服务费用。</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12</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造价咨询文件必须文字清晰整齐，必须盖有相关专业造价工程师的注册造价工程执业印章、单位负责人签字，并加盖单位公章。</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13</w:t>
      </w:r>
      <w:r>
        <w:rPr>
          <w:rFonts w:hint="eastAsia" w:ascii="仿宋" w:hAnsi="仿宋" w:eastAsia="仿宋" w:cs="仿宋"/>
          <w:color w:val="auto"/>
          <w:kern w:val="2"/>
          <w:szCs w:val="28"/>
          <w:lang w:eastAsia="zh-CN"/>
        </w:rPr>
        <w:t>）单个项目</w:t>
      </w:r>
      <w:r>
        <w:rPr>
          <w:rFonts w:hint="eastAsia" w:ascii="仿宋" w:hAnsi="仿宋" w:eastAsia="仿宋" w:cs="仿宋"/>
          <w:bCs/>
          <w:color w:val="auto"/>
          <w:kern w:val="2"/>
          <w:szCs w:val="28"/>
          <w:lang w:eastAsia="zh-CN"/>
        </w:rPr>
        <w:t>实际结算金额应控制在立项批复该</w:t>
      </w:r>
      <w:r>
        <w:rPr>
          <w:rFonts w:hint="eastAsia" w:ascii="仿宋" w:hAnsi="仿宋" w:eastAsia="仿宋" w:cs="仿宋"/>
          <w:color w:val="auto"/>
          <w:kern w:val="2"/>
          <w:szCs w:val="28"/>
          <w:lang w:eastAsia="zh-CN"/>
        </w:rPr>
        <w:t>单个项目</w:t>
      </w:r>
      <w:r>
        <w:rPr>
          <w:rFonts w:hint="eastAsia" w:ascii="仿宋" w:hAnsi="仿宋" w:eastAsia="仿宋" w:cs="仿宋"/>
          <w:bCs/>
          <w:color w:val="auto"/>
          <w:kern w:val="2"/>
          <w:szCs w:val="28"/>
          <w:lang w:eastAsia="zh-CN"/>
        </w:rPr>
        <w:t>金额内。</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14</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拟应用于该项目的设备和建筑材料参数、档次、品牌等有关造价方面中标人进行建议工作。</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15</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存在部分由招标人单独发包的各专项工程，中标人需全面完成各专项工程的清单、预算编制或审核变更、结算审核等工作。</w:t>
      </w:r>
    </w:p>
    <w:p>
      <w:pPr>
        <w:pStyle w:val="22"/>
        <w:spacing w:beforeLines="0" w:after="0" w:afterLines="0" w:line="360" w:lineRule="auto"/>
        <w:ind w:firstLine="560"/>
        <w:jc w:val="both"/>
        <w:rPr>
          <w:rFonts w:ascii="仿宋" w:hAnsi="仿宋" w:eastAsia="仿宋" w:cs="仿宋"/>
          <w:bCs/>
          <w:color w:val="auto"/>
          <w:kern w:val="2"/>
          <w:szCs w:val="28"/>
          <w:lang w:eastAsia="zh-CN"/>
        </w:rPr>
      </w:pPr>
      <w:r>
        <w:rPr>
          <w:rFonts w:ascii="仿宋" w:hAnsi="仿宋" w:eastAsia="仿宋" w:cs="仿宋"/>
          <w:color w:val="auto"/>
          <w:kern w:val="2"/>
          <w:szCs w:val="28"/>
          <w:lang w:eastAsia="zh-CN"/>
        </w:rPr>
        <w:t>16</w:t>
      </w:r>
      <w:r>
        <w:rPr>
          <w:rFonts w:hint="eastAsia" w:ascii="仿宋" w:hAnsi="仿宋" w:eastAsia="仿宋" w:cs="仿宋"/>
          <w:color w:val="auto"/>
          <w:kern w:val="2"/>
          <w:szCs w:val="28"/>
          <w:lang w:eastAsia="zh-CN"/>
        </w:rPr>
        <w:t>）</w:t>
      </w:r>
      <w:r>
        <w:rPr>
          <w:rFonts w:hint="eastAsia" w:ascii="仿宋" w:hAnsi="仿宋" w:eastAsia="仿宋" w:cs="仿宋"/>
          <w:bCs/>
          <w:color w:val="auto"/>
          <w:kern w:val="2"/>
          <w:szCs w:val="28"/>
          <w:lang w:eastAsia="zh-CN"/>
        </w:rPr>
        <w:t>凡是经过中标人编制或审核的工程概（预）算、工程结算，在工程招标过程中、施工过程中、竣工结算以及审计时如遇到工程量清单、概（预）算价以及结算价等方面答疑，中标人需配合澄清直至工程竣工结算审计工作结束，该义务</w:t>
      </w:r>
      <w:r>
        <w:rPr>
          <w:rFonts w:ascii="仿宋" w:hAnsi="仿宋" w:eastAsia="仿宋" w:cs="仿宋"/>
          <w:bCs/>
          <w:color w:val="auto"/>
          <w:kern w:val="2"/>
          <w:szCs w:val="28"/>
          <w:lang w:eastAsia="zh-CN"/>
        </w:rPr>
        <w:t>不受本合同期限的限制</w:t>
      </w:r>
      <w:r>
        <w:rPr>
          <w:rFonts w:hint="eastAsia" w:ascii="仿宋" w:hAnsi="仿宋" w:eastAsia="仿宋" w:cs="仿宋"/>
          <w:bCs/>
          <w:color w:val="auto"/>
          <w:kern w:val="2"/>
          <w:szCs w:val="28"/>
          <w:lang w:eastAsia="zh-CN"/>
        </w:rPr>
        <w:t>。</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17</w:t>
      </w:r>
      <w:r>
        <w:rPr>
          <w:rFonts w:hint="eastAsia" w:ascii="仿宋" w:hAnsi="仿宋" w:eastAsia="仿宋" w:cs="仿宋"/>
          <w:color w:val="auto"/>
          <w:kern w:val="2"/>
          <w:szCs w:val="28"/>
          <w:lang w:eastAsia="zh-CN"/>
        </w:rPr>
        <w:t>）对于同一单个项目的工程概（预）算单独编制或审核、结算审核，</w:t>
      </w:r>
      <w:r>
        <w:rPr>
          <w:rFonts w:hint="eastAsia" w:ascii="仿宋" w:hAnsi="仿宋" w:eastAsia="仿宋" w:cs="仿宋"/>
          <w:bCs/>
          <w:color w:val="auto"/>
          <w:kern w:val="2"/>
          <w:szCs w:val="28"/>
          <w:lang w:eastAsia="zh-CN"/>
        </w:rPr>
        <w:t>咨询服务费采用计件制</w:t>
      </w:r>
      <w:r>
        <w:rPr>
          <w:rFonts w:hint="eastAsia" w:ascii="仿宋" w:hAnsi="仿宋" w:eastAsia="仿宋" w:cs="仿宋"/>
          <w:color w:val="auto"/>
          <w:kern w:val="2"/>
          <w:szCs w:val="28"/>
          <w:lang w:eastAsia="zh-CN"/>
        </w:rPr>
        <w:t>，无论何种原因引起的返工，一件咨询服务费只按最终的结果计算一次费用。注：单个项目概算（含工程量清单、控制价、招标答疑并根据答疑修正数据以及如有必要时投标报价分析）编制为一件，单个项目概算（含工程量清单）审核为一件，单个项目预算（含工程量清单、控制价、招标答疑并根据答疑修正数据以及如有必要时投标报价分析）编制为一件，单个项目预算（含工程量清单）审核为一件，单个项目分阶段以及最终结算（含工程量清单）审核为一件。</w:t>
      </w:r>
    </w:p>
    <w:p>
      <w:pPr>
        <w:outlineLvl w:val="1"/>
        <w:rPr>
          <w:rFonts w:ascii="仿宋" w:hAnsi="仿宋" w:eastAsia="仿宋" w:cs="仿宋"/>
          <w:b/>
          <w:bCs/>
          <w:sz w:val="32"/>
          <w:szCs w:val="32"/>
        </w:rPr>
      </w:pPr>
      <w:r>
        <w:rPr>
          <w:rFonts w:hint="eastAsia" w:ascii="仿宋" w:hAnsi="仿宋" w:eastAsia="仿宋" w:cs="仿宋"/>
          <w:b/>
          <w:bCs/>
          <w:sz w:val="32"/>
          <w:szCs w:val="32"/>
        </w:rPr>
        <w:t>六、造价咨询费用</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FF0000"/>
          <w:kern w:val="2"/>
          <w:szCs w:val="28"/>
          <w:lang w:eastAsia="zh-CN"/>
        </w:rPr>
        <w:t>本项目统一采用投标</w:t>
      </w:r>
      <w:r>
        <w:rPr>
          <w:rFonts w:hint="eastAsia" w:ascii="仿宋" w:hAnsi="仿宋" w:eastAsia="仿宋" w:cs="仿宋"/>
          <w:color w:val="FF0000"/>
          <w:kern w:val="2"/>
          <w:szCs w:val="28"/>
          <w:lang w:val="en-US" w:eastAsia="zh-CN"/>
        </w:rPr>
        <w:t>下浮</w:t>
      </w:r>
      <w:r>
        <w:rPr>
          <w:rFonts w:hint="eastAsia" w:ascii="仿宋" w:hAnsi="仿宋" w:eastAsia="仿宋" w:cs="仿宋"/>
          <w:color w:val="FF0000"/>
          <w:kern w:val="2"/>
          <w:szCs w:val="28"/>
          <w:lang w:eastAsia="zh-CN"/>
        </w:rPr>
        <w:t>率方式报价（</w:t>
      </w:r>
      <w:r>
        <w:rPr>
          <w:rFonts w:hint="eastAsia" w:ascii="仿宋" w:hAnsi="仿宋" w:eastAsia="仿宋" w:cs="仿宋"/>
          <w:color w:val="FF0000"/>
          <w:kern w:val="2"/>
          <w:szCs w:val="28"/>
          <w:lang w:val="en-US" w:eastAsia="zh-CN"/>
        </w:rPr>
        <w:t>下浮</w:t>
      </w:r>
      <w:r>
        <w:rPr>
          <w:rFonts w:hint="eastAsia" w:ascii="仿宋" w:hAnsi="仿宋" w:eastAsia="仿宋" w:cs="仿宋"/>
          <w:color w:val="FF0000"/>
          <w:kern w:val="2"/>
          <w:szCs w:val="28"/>
          <w:lang w:eastAsia="zh-CN"/>
        </w:rPr>
        <w:t>率为</w:t>
      </w:r>
      <w:r>
        <w:rPr>
          <w:rFonts w:ascii="仿宋" w:hAnsi="仿宋" w:eastAsia="仿宋" w:cs="仿宋"/>
          <w:color w:val="FF0000"/>
          <w:kern w:val="2"/>
          <w:szCs w:val="28"/>
          <w:lang w:eastAsia="zh-CN"/>
        </w:rPr>
        <w:t>d%</w:t>
      </w:r>
      <w:r>
        <w:rPr>
          <w:rFonts w:hint="eastAsia" w:ascii="仿宋" w:hAnsi="仿宋" w:eastAsia="仿宋" w:cs="仿宋"/>
          <w:color w:val="FF0000"/>
          <w:kern w:val="2"/>
          <w:szCs w:val="28"/>
          <w:lang w:eastAsia="zh-CN"/>
        </w:rPr>
        <w:t>，</w:t>
      </w:r>
      <w:r>
        <w:rPr>
          <w:rFonts w:ascii="仿宋" w:hAnsi="仿宋" w:eastAsia="仿宋" w:cs="仿宋"/>
          <w:color w:val="FF0000"/>
          <w:kern w:val="2"/>
          <w:szCs w:val="28"/>
          <w:lang w:eastAsia="zh-CN"/>
        </w:rPr>
        <w:t xml:space="preserve"> d</w:t>
      </w:r>
      <w:r>
        <w:rPr>
          <w:rFonts w:hint="eastAsia" w:ascii="仿宋" w:hAnsi="仿宋" w:eastAsia="仿宋" w:cs="仿宋"/>
          <w:color w:val="FF0000"/>
          <w:kern w:val="2"/>
          <w:szCs w:val="28"/>
          <w:lang w:eastAsia="zh-CN"/>
        </w:rPr>
        <w:t>值精确到小数点</w:t>
      </w:r>
      <w:r>
        <w:rPr>
          <w:rFonts w:ascii="仿宋" w:hAnsi="仿宋" w:eastAsia="仿宋" w:cs="仿宋"/>
          <w:color w:val="FF0000"/>
          <w:kern w:val="2"/>
          <w:szCs w:val="28"/>
          <w:lang w:eastAsia="zh-CN"/>
        </w:rPr>
        <w:t>后2位</w:t>
      </w:r>
      <w:r>
        <w:rPr>
          <w:rFonts w:hint="eastAsia" w:ascii="仿宋" w:hAnsi="仿宋" w:eastAsia="仿宋" w:cs="仿宋"/>
          <w:color w:val="FF0000"/>
          <w:kern w:val="2"/>
          <w:szCs w:val="28"/>
          <w:lang w:eastAsia="zh-CN"/>
        </w:rPr>
        <w:t>）。</w:t>
      </w:r>
      <w:r>
        <w:rPr>
          <w:rFonts w:hint="eastAsia" w:ascii="仿宋" w:hAnsi="仿宋" w:eastAsia="仿宋" w:cs="仿宋"/>
          <w:color w:val="auto"/>
          <w:kern w:val="2"/>
          <w:szCs w:val="28"/>
          <w:lang w:eastAsia="zh-CN"/>
        </w:rPr>
        <w:t>对单个项目服务费上不封顶下不兜底，据实结算。</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1）工程概（预）算编制或审核收费标准</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FF0000"/>
          <w:kern w:val="2"/>
          <w:szCs w:val="28"/>
          <w:lang w:eastAsia="zh-CN"/>
        </w:rPr>
        <w:t>按照工程概（预）算审定造价×2</w:t>
      </w:r>
      <w:r>
        <w:rPr>
          <w:rFonts w:ascii="仿宋" w:hAnsi="仿宋" w:eastAsia="仿宋" w:cs="仿宋"/>
          <w:color w:val="FF0000"/>
          <w:kern w:val="2"/>
          <w:szCs w:val="28"/>
          <w:lang w:eastAsia="zh-CN"/>
        </w:rPr>
        <w:t>.00</w:t>
      </w:r>
      <w:r>
        <w:rPr>
          <w:rFonts w:hint="eastAsia" w:ascii="仿宋" w:hAnsi="仿宋" w:eastAsia="仿宋" w:cs="仿宋"/>
          <w:color w:val="FF0000"/>
          <w:kern w:val="2"/>
          <w:szCs w:val="28"/>
          <w:lang w:eastAsia="zh-CN"/>
        </w:rPr>
        <w:t>‰×（</w:t>
      </w:r>
      <w:r>
        <w:rPr>
          <w:rFonts w:hint="eastAsia" w:ascii="仿宋" w:hAnsi="仿宋" w:eastAsia="仿宋" w:cs="仿宋"/>
          <w:color w:val="FF0000"/>
          <w:kern w:val="2"/>
          <w:szCs w:val="28"/>
          <w:lang w:val="en-US" w:eastAsia="zh-CN"/>
        </w:rPr>
        <w:t>1-下浮率d%）</w:t>
      </w:r>
      <w:r>
        <w:rPr>
          <w:rFonts w:hint="eastAsia" w:ascii="仿宋" w:hAnsi="仿宋" w:eastAsia="仿宋" w:cs="仿宋"/>
          <w:color w:val="FF0000"/>
          <w:kern w:val="2"/>
          <w:szCs w:val="28"/>
          <w:lang w:eastAsia="zh-CN"/>
        </w:rPr>
        <w:t>计算，据实结算。</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工程概（预）算审定造价的优先级顺序为：合同价（由招标人单独发包的各专项工程）、终审概（预）算价（如果有）、一审概（预）算价、送审概（预）算价。</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2）工程结算审核收费标准</w:t>
      </w:r>
    </w:p>
    <w:p>
      <w:pPr>
        <w:pStyle w:val="22"/>
        <w:spacing w:beforeLines="0" w:after="0" w:afterLines="0" w:line="360" w:lineRule="auto"/>
        <w:ind w:firstLine="560"/>
        <w:jc w:val="both"/>
        <w:rPr>
          <w:rFonts w:ascii="仿宋" w:hAnsi="仿宋" w:eastAsia="仿宋" w:cs="仿宋"/>
          <w:color w:val="auto"/>
          <w:kern w:val="2"/>
          <w:szCs w:val="28"/>
          <w:lang w:eastAsia="zh-CN"/>
        </w:rPr>
      </w:pPr>
      <w:bookmarkStart w:id="3" w:name="_GoBack"/>
      <w:r>
        <w:rPr>
          <w:rFonts w:hint="eastAsia" w:ascii="仿宋" w:hAnsi="仿宋" w:eastAsia="仿宋" w:cs="仿宋"/>
          <w:color w:val="FF0000"/>
          <w:kern w:val="2"/>
          <w:szCs w:val="28"/>
          <w:lang w:eastAsia="zh-CN"/>
        </w:rPr>
        <w:t>工程结算审核总收费=（基本收费×</w:t>
      </w:r>
      <w:r>
        <w:rPr>
          <w:rFonts w:ascii="仿宋" w:hAnsi="仿宋" w:eastAsia="仿宋" w:cs="仿宋"/>
          <w:color w:val="FF0000"/>
          <w:kern w:val="2"/>
          <w:szCs w:val="28"/>
          <w:lang w:eastAsia="zh-CN"/>
        </w:rPr>
        <w:t>4.20</w:t>
      </w:r>
      <w:r>
        <w:rPr>
          <w:rFonts w:hint="eastAsia" w:ascii="仿宋" w:hAnsi="仿宋" w:eastAsia="仿宋" w:cs="仿宋"/>
          <w:color w:val="FF0000"/>
          <w:kern w:val="2"/>
          <w:szCs w:val="28"/>
          <w:lang w:eastAsia="zh-CN"/>
        </w:rPr>
        <w:t>‰+效益收费×</w:t>
      </w:r>
      <w:r>
        <w:rPr>
          <w:rFonts w:ascii="仿宋" w:hAnsi="仿宋" w:eastAsia="仿宋" w:cs="仿宋"/>
          <w:color w:val="FF0000"/>
          <w:kern w:val="2"/>
          <w:szCs w:val="28"/>
          <w:lang w:eastAsia="zh-CN"/>
        </w:rPr>
        <w:t>3.00</w:t>
      </w:r>
      <w:r>
        <w:rPr>
          <w:rFonts w:hint="eastAsia" w:ascii="仿宋" w:hAnsi="仿宋" w:eastAsia="仿宋" w:cs="仿宋"/>
          <w:color w:val="FF0000"/>
          <w:kern w:val="2"/>
          <w:szCs w:val="28"/>
          <w:lang w:eastAsia="zh-CN"/>
        </w:rPr>
        <w:t>%）×（</w:t>
      </w:r>
      <w:r>
        <w:rPr>
          <w:rFonts w:hint="eastAsia" w:ascii="仿宋" w:hAnsi="仿宋" w:eastAsia="仿宋" w:cs="仿宋"/>
          <w:color w:val="FF0000"/>
          <w:kern w:val="2"/>
          <w:szCs w:val="28"/>
          <w:lang w:val="en-US" w:eastAsia="zh-CN"/>
        </w:rPr>
        <w:t>1-下浮率d%）</w:t>
      </w:r>
      <w:r>
        <w:rPr>
          <w:rFonts w:hint="eastAsia" w:ascii="仿宋" w:hAnsi="仿宋" w:eastAsia="仿宋" w:cs="仿宋"/>
          <w:color w:val="FF0000"/>
          <w:kern w:val="2"/>
          <w:szCs w:val="28"/>
          <w:lang w:eastAsia="zh-CN"/>
        </w:rPr>
        <w:t>计算</w:t>
      </w:r>
      <w:bookmarkEnd w:id="3"/>
      <w:r>
        <w:rPr>
          <w:rFonts w:hint="eastAsia" w:ascii="仿宋" w:hAnsi="仿宋" w:eastAsia="仿宋" w:cs="仿宋"/>
          <w:color w:val="auto"/>
          <w:kern w:val="2"/>
          <w:szCs w:val="28"/>
          <w:lang w:eastAsia="zh-CN"/>
        </w:rPr>
        <w:t>，据实支付。</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基本收费基数为审定（终审）结算价，效益收费基数为|核减额</w:t>
      </w:r>
      <w:r>
        <w:rPr>
          <w:rFonts w:ascii="仿宋" w:hAnsi="仿宋" w:eastAsia="仿宋" w:cs="仿宋"/>
          <w:color w:val="auto"/>
          <w:kern w:val="2"/>
          <w:szCs w:val="28"/>
          <w:lang w:eastAsia="zh-CN"/>
        </w:rPr>
        <w:t>|+|</w:t>
      </w:r>
      <w:r>
        <w:rPr>
          <w:rFonts w:hint="eastAsia" w:ascii="仿宋" w:hAnsi="仿宋" w:eastAsia="仿宋" w:cs="仿宋"/>
          <w:color w:val="auto"/>
          <w:kern w:val="2"/>
          <w:szCs w:val="28"/>
          <w:lang w:eastAsia="zh-CN"/>
        </w:rPr>
        <w:t>核增额|，效益收费基数为一审结算价与送审结算价的差额。</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注：对单个项目咨询服务费上不封顶下不兜底，此结算方式如与其他文件要求存在冲突，以此约定的结算方式为准。</w:t>
      </w:r>
    </w:p>
    <w:p>
      <w:pPr>
        <w:outlineLvl w:val="1"/>
        <w:rPr>
          <w:rFonts w:ascii="仿宋" w:hAnsi="仿宋" w:eastAsia="仿宋" w:cs="仿宋"/>
          <w:b/>
          <w:bCs/>
          <w:sz w:val="32"/>
          <w:szCs w:val="32"/>
        </w:rPr>
      </w:pPr>
      <w:r>
        <w:rPr>
          <w:rFonts w:hint="eastAsia" w:ascii="仿宋" w:hAnsi="仿宋" w:eastAsia="仿宋" w:cs="仿宋"/>
          <w:b/>
          <w:bCs/>
          <w:sz w:val="32"/>
          <w:szCs w:val="32"/>
        </w:rPr>
        <w:t>七、合同履约期限</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工程造价咨询服务自合同签订之日起</w:t>
      </w:r>
      <w:r>
        <w:rPr>
          <w:rFonts w:ascii="仿宋" w:hAnsi="仿宋" w:eastAsia="仿宋" w:cs="仿宋"/>
          <w:color w:val="auto"/>
          <w:kern w:val="2"/>
          <w:szCs w:val="28"/>
          <w:lang w:eastAsia="zh-CN"/>
        </w:rPr>
        <w:t>1</w:t>
      </w:r>
      <w:r>
        <w:rPr>
          <w:rFonts w:hint="eastAsia" w:ascii="仿宋" w:hAnsi="仿宋" w:eastAsia="仿宋" w:cs="仿宋"/>
          <w:color w:val="auto"/>
          <w:kern w:val="2"/>
          <w:szCs w:val="28"/>
          <w:lang w:eastAsia="zh-CN"/>
        </w:rPr>
        <w:t>年。</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在合同到期后，如招标人对中标人服务质量满意，且双方同意，可以按年度继续续期。</w:t>
      </w:r>
    </w:p>
    <w:p>
      <w:pPr>
        <w:outlineLvl w:val="1"/>
        <w:rPr>
          <w:rFonts w:ascii="仿宋" w:hAnsi="仿宋" w:eastAsia="仿宋" w:cs="仿宋"/>
          <w:b/>
          <w:bCs/>
          <w:sz w:val="32"/>
          <w:szCs w:val="32"/>
        </w:rPr>
      </w:pPr>
      <w:r>
        <w:rPr>
          <w:rFonts w:hint="eastAsia" w:ascii="仿宋" w:hAnsi="仿宋" w:eastAsia="仿宋" w:cs="仿宋"/>
          <w:b/>
          <w:bCs/>
          <w:sz w:val="32"/>
          <w:szCs w:val="32"/>
        </w:rPr>
        <w:t>八、付款</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1）投标人按季度或年度申请支付咨询费；</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）投标人在每次应付款日期前，向招标人提交支付申请书，支付申请书的提交日期及所需材料由双方在专用条件中约定。支付申请书应当说明当期应付款总额，并列出当期应支付的款项及其金额。</w:t>
      </w:r>
    </w:p>
    <w:p>
      <w:pPr>
        <w:outlineLvl w:val="1"/>
        <w:rPr>
          <w:rFonts w:ascii="仿宋" w:hAnsi="仿宋" w:eastAsia="仿宋" w:cs="仿宋"/>
          <w:b/>
          <w:bCs/>
          <w:sz w:val="32"/>
          <w:szCs w:val="32"/>
        </w:rPr>
      </w:pPr>
      <w:r>
        <w:rPr>
          <w:rFonts w:hint="eastAsia" w:ascii="仿宋" w:hAnsi="仿宋" w:eastAsia="仿宋" w:cs="仿宋"/>
          <w:b/>
          <w:bCs/>
          <w:sz w:val="32"/>
          <w:szCs w:val="32"/>
        </w:rPr>
        <w:t>九、中标人资格的取消及从头选取中标人</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中标人有下列情形之一，将直接取消中标人的资格，将中标人列入“黑名单”，并按本需求书重新选取中标人：</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hint="eastAsia" w:ascii="仿宋" w:hAnsi="仿宋" w:eastAsia="仿宋" w:cs="仿宋"/>
          <w:color w:val="auto"/>
          <w:kern w:val="2"/>
          <w:szCs w:val="28"/>
          <w:lang w:eastAsia="zh-CN"/>
        </w:rPr>
        <w:t>1）中标人在接到招标人通知后，项目负责人未于2个工作日内到招标人办公地点领取中标通知书及相关项目资料，或无法在2个工作日内完整提供为本项目服务人员要求的资料。</w:t>
      </w:r>
    </w:p>
    <w:p>
      <w:pPr>
        <w:pStyle w:val="22"/>
        <w:spacing w:beforeLines="0" w:after="0" w:afterLines="0" w:line="360" w:lineRule="auto"/>
        <w:ind w:firstLine="560"/>
        <w:jc w:val="both"/>
        <w:rPr>
          <w:rFonts w:ascii="仿宋" w:hAnsi="仿宋" w:eastAsia="仿宋" w:cs="仿宋"/>
          <w:color w:val="auto"/>
          <w:kern w:val="2"/>
          <w:szCs w:val="28"/>
          <w:lang w:eastAsia="zh-CN"/>
        </w:rPr>
      </w:pPr>
      <w:r>
        <w:rPr>
          <w:rFonts w:ascii="仿宋" w:hAnsi="仿宋" w:eastAsia="仿宋" w:cs="仿宋"/>
          <w:color w:val="auto"/>
          <w:kern w:val="2"/>
          <w:szCs w:val="28"/>
          <w:lang w:eastAsia="zh-CN"/>
        </w:rPr>
        <w:t>2</w:t>
      </w:r>
      <w:r>
        <w:rPr>
          <w:rFonts w:hint="eastAsia" w:ascii="仿宋" w:hAnsi="仿宋" w:eastAsia="仿宋" w:cs="仿宋"/>
          <w:color w:val="auto"/>
          <w:kern w:val="2"/>
          <w:szCs w:val="28"/>
          <w:lang w:eastAsia="zh-CN"/>
        </w:rPr>
        <w:t>）由于中标人原因，导致工期滞后，中标人不能按要求工期完成造价咨询工作。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19486D4B"/>
    <w:rsid w:val="00044FF2"/>
    <w:rsid w:val="0005487F"/>
    <w:rsid w:val="000636E1"/>
    <w:rsid w:val="00084C9A"/>
    <w:rsid w:val="00095C20"/>
    <w:rsid w:val="000A0262"/>
    <w:rsid w:val="000F118E"/>
    <w:rsid w:val="000F4206"/>
    <w:rsid w:val="00127A80"/>
    <w:rsid w:val="00161EC7"/>
    <w:rsid w:val="001623B3"/>
    <w:rsid w:val="00163F4B"/>
    <w:rsid w:val="001B2F49"/>
    <w:rsid w:val="002330B1"/>
    <w:rsid w:val="0023647C"/>
    <w:rsid w:val="00260AAE"/>
    <w:rsid w:val="00270B9D"/>
    <w:rsid w:val="002C49AA"/>
    <w:rsid w:val="002D0770"/>
    <w:rsid w:val="002D0E26"/>
    <w:rsid w:val="002E0B99"/>
    <w:rsid w:val="00321D9A"/>
    <w:rsid w:val="0034578A"/>
    <w:rsid w:val="003A162F"/>
    <w:rsid w:val="003B185E"/>
    <w:rsid w:val="003B592C"/>
    <w:rsid w:val="003B72C4"/>
    <w:rsid w:val="003D3A86"/>
    <w:rsid w:val="003F1295"/>
    <w:rsid w:val="00407903"/>
    <w:rsid w:val="00447D25"/>
    <w:rsid w:val="00450E8E"/>
    <w:rsid w:val="004E6F62"/>
    <w:rsid w:val="00506815"/>
    <w:rsid w:val="00515C8F"/>
    <w:rsid w:val="0052031C"/>
    <w:rsid w:val="00540EEB"/>
    <w:rsid w:val="0057000F"/>
    <w:rsid w:val="005848E4"/>
    <w:rsid w:val="005B127C"/>
    <w:rsid w:val="005C1761"/>
    <w:rsid w:val="005D40E9"/>
    <w:rsid w:val="005D6131"/>
    <w:rsid w:val="005F4423"/>
    <w:rsid w:val="00610410"/>
    <w:rsid w:val="00652515"/>
    <w:rsid w:val="006777D4"/>
    <w:rsid w:val="006C005B"/>
    <w:rsid w:val="006C7A5D"/>
    <w:rsid w:val="006D49B1"/>
    <w:rsid w:val="006D79CF"/>
    <w:rsid w:val="006F031A"/>
    <w:rsid w:val="00703104"/>
    <w:rsid w:val="00711CF3"/>
    <w:rsid w:val="007249B6"/>
    <w:rsid w:val="00737130"/>
    <w:rsid w:val="00762DBB"/>
    <w:rsid w:val="00780716"/>
    <w:rsid w:val="00781C3B"/>
    <w:rsid w:val="0078568B"/>
    <w:rsid w:val="007A0B02"/>
    <w:rsid w:val="007A21B2"/>
    <w:rsid w:val="007B15BF"/>
    <w:rsid w:val="007B1AD4"/>
    <w:rsid w:val="00801997"/>
    <w:rsid w:val="00814D39"/>
    <w:rsid w:val="00825E57"/>
    <w:rsid w:val="008506FE"/>
    <w:rsid w:val="00867EB7"/>
    <w:rsid w:val="00870B90"/>
    <w:rsid w:val="00875FB0"/>
    <w:rsid w:val="008E7711"/>
    <w:rsid w:val="0094359F"/>
    <w:rsid w:val="00973075"/>
    <w:rsid w:val="00987D28"/>
    <w:rsid w:val="00992E80"/>
    <w:rsid w:val="00996AF4"/>
    <w:rsid w:val="009C39DF"/>
    <w:rsid w:val="009C71FC"/>
    <w:rsid w:val="00A24CB6"/>
    <w:rsid w:val="00A54245"/>
    <w:rsid w:val="00A62F3B"/>
    <w:rsid w:val="00A81451"/>
    <w:rsid w:val="00AA550F"/>
    <w:rsid w:val="00AC28A0"/>
    <w:rsid w:val="00AD152D"/>
    <w:rsid w:val="00AD5A6C"/>
    <w:rsid w:val="00AD6446"/>
    <w:rsid w:val="00AF42D2"/>
    <w:rsid w:val="00B26BE7"/>
    <w:rsid w:val="00B27DC3"/>
    <w:rsid w:val="00B37506"/>
    <w:rsid w:val="00B3770E"/>
    <w:rsid w:val="00B51C44"/>
    <w:rsid w:val="00B555C3"/>
    <w:rsid w:val="00B7651E"/>
    <w:rsid w:val="00B958AA"/>
    <w:rsid w:val="00BA2362"/>
    <w:rsid w:val="00BD0B05"/>
    <w:rsid w:val="00C036AA"/>
    <w:rsid w:val="00C147D7"/>
    <w:rsid w:val="00C14D50"/>
    <w:rsid w:val="00C154D9"/>
    <w:rsid w:val="00C220C8"/>
    <w:rsid w:val="00C27428"/>
    <w:rsid w:val="00C27478"/>
    <w:rsid w:val="00C31254"/>
    <w:rsid w:val="00C339F1"/>
    <w:rsid w:val="00C44FD1"/>
    <w:rsid w:val="00C64FD9"/>
    <w:rsid w:val="00C7228A"/>
    <w:rsid w:val="00CA2073"/>
    <w:rsid w:val="00CB7BF9"/>
    <w:rsid w:val="00CC6550"/>
    <w:rsid w:val="00CD049E"/>
    <w:rsid w:val="00CF5031"/>
    <w:rsid w:val="00D55086"/>
    <w:rsid w:val="00D6369E"/>
    <w:rsid w:val="00D74C5C"/>
    <w:rsid w:val="00D76163"/>
    <w:rsid w:val="00D829D7"/>
    <w:rsid w:val="00DD2E02"/>
    <w:rsid w:val="00DF1554"/>
    <w:rsid w:val="00E03058"/>
    <w:rsid w:val="00E2064A"/>
    <w:rsid w:val="00E31570"/>
    <w:rsid w:val="00E429ED"/>
    <w:rsid w:val="00E511D8"/>
    <w:rsid w:val="00E57414"/>
    <w:rsid w:val="00E9093F"/>
    <w:rsid w:val="00E965ED"/>
    <w:rsid w:val="00E9752A"/>
    <w:rsid w:val="00EB11CF"/>
    <w:rsid w:val="00EC4448"/>
    <w:rsid w:val="00EF4628"/>
    <w:rsid w:val="00F252CA"/>
    <w:rsid w:val="00F42A53"/>
    <w:rsid w:val="00F44580"/>
    <w:rsid w:val="00F649F9"/>
    <w:rsid w:val="00FB4D76"/>
    <w:rsid w:val="00FD07FF"/>
    <w:rsid w:val="021A332F"/>
    <w:rsid w:val="02E910F0"/>
    <w:rsid w:val="06BB7FAA"/>
    <w:rsid w:val="0B602F7F"/>
    <w:rsid w:val="0BA61C72"/>
    <w:rsid w:val="0CC31C91"/>
    <w:rsid w:val="0F8013A6"/>
    <w:rsid w:val="133B4C77"/>
    <w:rsid w:val="15AD00CB"/>
    <w:rsid w:val="175F28D7"/>
    <w:rsid w:val="17CA6FD7"/>
    <w:rsid w:val="186D7DFB"/>
    <w:rsid w:val="19362169"/>
    <w:rsid w:val="19486D4B"/>
    <w:rsid w:val="205E1B4C"/>
    <w:rsid w:val="22AF4D3A"/>
    <w:rsid w:val="232436F2"/>
    <w:rsid w:val="25D7794D"/>
    <w:rsid w:val="2CAB7F3B"/>
    <w:rsid w:val="2E744B08"/>
    <w:rsid w:val="2FC5794B"/>
    <w:rsid w:val="312A002A"/>
    <w:rsid w:val="3AB17012"/>
    <w:rsid w:val="3AD22C81"/>
    <w:rsid w:val="3B8E2227"/>
    <w:rsid w:val="3DB5082E"/>
    <w:rsid w:val="3EB05C6A"/>
    <w:rsid w:val="41F66BBF"/>
    <w:rsid w:val="43E6501D"/>
    <w:rsid w:val="459F18EB"/>
    <w:rsid w:val="4B154D89"/>
    <w:rsid w:val="4DD7415C"/>
    <w:rsid w:val="553A3615"/>
    <w:rsid w:val="562208F2"/>
    <w:rsid w:val="594352B9"/>
    <w:rsid w:val="5CAB54B0"/>
    <w:rsid w:val="5E397422"/>
    <w:rsid w:val="5E780221"/>
    <w:rsid w:val="5F79681A"/>
    <w:rsid w:val="5FED68A8"/>
    <w:rsid w:val="5FF67529"/>
    <w:rsid w:val="65421680"/>
    <w:rsid w:val="66C409E7"/>
    <w:rsid w:val="69166832"/>
    <w:rsid w:val="693A2C01"/>
    <w:rsid w:val="6A0445F0"/>
    <w:rsid w:val="6D2C1D2D"/>
    <w:rsid w:val="6D592EA5"/>
    <w:rsid w:val="6D6E48D6"/>
    <w:rsid w:val="6E7253B8"/>
    <w:rsid w:val="6ED61A08"/>
    <w:rsid w:val="73430839"/>
    <w:rsid w:val="76850AE5"/>
    <w:rsid w:val="777B8EC4"/>
    <w:rsid w:val="79A71FB0"/>
    <w:rsid w:val="7B012F7C"/>
    <w:rsid w:val="7BDDA673"/>
    <w:rsid w:val="7CB03373"/>
    <w:rsid w:val="7D6925F0"/>
    <w:rsid w:val="DFFBC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99"/>
    <w:pPr>
      <w:keepNext/>
      <w:keepLines/>
      <w:spacing w:line="416" w:lineRule="auto"/>
      <w:outlineLvl w:val="1"/>
    </w:pPr>
    <w:rPr>
      <w:rFonts w:hint="eastAsia" w:ascii="Cambria" w:hAnsi="Cambria"/>
      <w:b/>
      <w:sz w:val="32"/>
    </w:rPr>
  </w:style>
  <w:style w:type="paragraph" w:styleId="4">
    <w:name w:val="heading 3"/>
    <w:basedOn w:val="1"/>
    <w:next w:val="1"/>
    <w:unhideWhenUsed/>
    <w:qFormat/>
    <w:uiPriority w:val="99"/>
    <w:pPr>
      <w:keepNext/>
      <w:keepLines/>
      <w:spacing w:line="416" w:lineRule="auto"/>
      <w:ind w:left="630" w:leftChars="300"/>
      <w:outlineLvl w:val="2"/>
    </w:pPr>
    <w:rPr>
      <w:rFonts w:hint="eastAsia" w:eastAsia="仿宋_GB2312"/>
      <w:b/>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widowControl/>
      <w:suppressAutoHyphens w:val="0"/>
      <w:spacing w:after="200" w:line="276" w:lineRule="auto"/>
      <w:jc w:val="left"/>
    </w:pPr>
    <w:rPr>
      <w:rFonts w:asciiTheme="minorHAnsi" w:hAnsiTheme="minorHAnsi" w:eastAsiaTheme="minorEastAsia" w:cstheme="minorBidi"/>
      <w:kern w:val="0"/>
      <w:sz w:val="22"/>
      <w:szCs w:val="22"/>
      <w:lang w:eastAsia="en-US"/>
    </w:rPr>
  </w:style>
  <w:style w:type="paragraph" w:styleId="6">
    <w:name w:val="Body Text"/>
    <w:basedOn w:val="1"/>
    <w:qFormat/>
    <w:uiPriority w:val="0"/>
    <w:pPr>
      <w:spacing w:after="140" w:line="276" w:lineRule="auto"/>
    </w:pPr>
  </w:style>
  <w:style w:type="paragraph" w:styleId="7">
    <w:name w:val="Body Text Indent"/>
    <w:basedOn w:val="1"/>
    <w:next w:val="8"/>
    <w:qFormat/>
    <w:uiPriority w:val="0"/>
    <w:pPr>
      <w:spacing w:after="120"/>
      <w:ind w:left="420" w:leftChars="200"/>
    </w:pPr>
    <w:rPr>
      <w:rFonts w:ascii="Times New Roman" w:hAnsi="Times New Roman"/>
    </w:rPr>
  </w:style>
  <w:style w:type="paragraph" w:styleId="8">
    <w:name w:val="envelope return"/>
    <w:basedOn w:val="1"/>
    <w:qFormat/>
    <w:uiPriority w:val="0"/>
    <w:pPr>
      <w:snapToGrid w:val="0"/>
    </w:pPr>
    <w:rPr>
      <w:rFonts w:ascii="Arial" w:hAnsi="Arial"/>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4"/>
    <w:qFormat/>
    <w:uiPriority w:val="11"/>
    <w:pPr>
      <w:widowControl/>
      <w:suppressAutoHyphens w:val="0"/>
      <w:spacing w:before="240" w:after="60" w:line="312" w:lineRule="auto"/>
      <w:jc w:val="center"/>
      <w:outlineLvl w:val="1"/>
    </w:pPr>
    <w:rPr>
      <w:rFonts w:ascii="Calibri Light" w:hAnsi="Calibri Light"/>
      <w:b/>
      <w:bCs/>
      <w:kern w:val="28"/>
      <w:sz w:val="32"/>
      <w:szCs w:val="3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Body Text First Indent 2"/>
    <w:basedOn w:val="7"/>
    <w:next w:val="1"/>
    <w:unhideWhenUsed/>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unhideWhenUsed/>
    <w:qFormat/>
    <w:uiPriority w:val="99"/>
    <w:rPr>
      <w:sz w:val="21"/>
      <w:szCs w:val="21"/>
    </w:rPr>
  </w:style>
  <w:style w:type="paragraph" w:customStyle="1" w:styleId="18">
    <w:name w:val="zhang"/>
    <w:basedOn w:val="1"/>
    <w:qFormat/>
    <w:uiPriority w:val="0"/>
    <w:pPr>
      <w:spacing w:before="100" w:beforeAutospacing="1" w:after="100" w:afterAutospacing="1"/>
    </w:pPr>
    <w:rPr>
      <w:b/>
      <w:bCs/>
      <w:smallCaps/>
      <w:color w:val="000000"/>
      <w:sz w:val="20"/>
      <w:szCs w:val="20"/>
    </w:rPr>
  </w:style>
  <w:style w:type="paragraph" w:customStyle="1" w:styleId="19">
    <w:name w:val="p0"/>
    <w:basedOn w:val="1"/>
    <w:qFormat/>
    <w:uiPriority w:val="0"/>
    <w:rPr>
      <w:rFonts w:ascii="Times New Roman" w:hAnsi="Times New Roman"/>
      <w:szCs w:val="21"/>
    </w:rPr>
  </w:style>
  <w:style w:type="character" w:customStyle="1" w:styleId="20">
    <w:name w:val="15"/>
    <w:qFormat/>
    <w:uiPriority w:val="0"/>
    <w:rPr>
      <w:rFonts w:hint="default" w:ascii="Times New Roman" w:hAnsi="Times New Roman" w:cs="Times New Roman"/>
      <w:color w:val="464445"/>
      <w:u w:val="none"/>
    </w:rPr>
  </w:style>
  <w:style w:type="character" w:customStyle="1" w:styleId="21">
    <w:name w:val="页眉 字符"/>
    <w:basedOn w:val="16"/>
    <w:link w:val="10"/>
    <w:qFormat/>
    <w:uiPriority w:val="0"/>
    <w:rPr>
      <w:rFonts w:ascii="Calibri" w:hAnsi="Calibri"/>
      <w:kern w:val="2"/>
      <w:sz w:val="18"/>
      <w:szCs w:val="18"/>
    </w:rPr>
  </w:style>
  <w:style w:type="paragraph" w:customStyle="1" w:styleId="22">
    <w:name w:val="mybody"/>
    <w:basedOn w:val="1"/>
    <w:link w:val="23"/>
    <w:qFormat/>
    <w:uiPriority w:val="0"/>
    <w:pPr>
      <w:widowControl/>
      <w:suppressAutoHyphens w:val="0"/>
      <w:spacing w:beforeLines="100" w:after="200" w:afterLines="100" w:line="288" w:lineRule="auto"/>
      <w:ind w:firstLine="200" w:firstLineChars="200"/>
      <w:jc w:val="left"/>
    </w:pPr>
    <w:rPr>
      <w:rFonts w:asciiTheme="minorHAnsi" w:hAnsiTheme="minorHAnsi" w:eastAsiaTheme="minorEastAsia" w:cstheme="minorBidi"/>
      <w:color w:val="000000" w:themeColor="text1"/>
      <w:kern w:val="0"/>
      <w:sz w:val="28"/>
      <w:szCs w:val="22"/>
      <w:lang w:eastAsia="en-US"/>
      <w14:textFill>
        <w14:solidFill>
          <w14:schemeClr w14:val="tx1"/>
        </w14:solidFill>
      </w14:textFill>
    </w:rPr>
  </w:style>
  <w:style w:type="character" w:customStyle="1" w:styleId="23">
    <w:name w:val="mybody Char"/>
    <w:basedOn w:val="16"/>
    <w:link w:val="22"/>
    <w:qFormat/>
    <w:uiPriority w:val="0"/>
    <w:rPr>
      <w:rFonts w:asciiTheme="minorHAnsi" w:hAnsiTheme="minorHAnsi" w:eastAsiaTheme="minorEastAsia" w:cstheme="minorBidi"/>
      <w:color w:val="000000" w:themeColor="text1"/>
      <w:sz w:val="28"/>
      <w:szCs w:val="22"/>
      <w:lang w:eastAsia="en-US"/>
      <w14:textFill>
        <w14:solidFill>
          <w14:schemeClr w14:val="tx1"/>
        </w14:solidFill>
      </w14:textFill>
    </w:rPr>
  </w:style>
  <w:style w:type="character" w:customStyle="1" w:styleId="24">
    <w:name w:val="副标题 字符"/>
    <w:link w:val="11"/>
    <w:qFormat/>
    <w:uiPriority w:val="11"/>
    <w:rPr>
      <w:rFonts w:ascii="Calibri Light" w:hAnsi="Calibri Light"/>
      <w:b/>
      <w:bCs/>
      <w:kern w:val="28"/>
      <w:sz w:val="32"/>
      <w:szCs w:val="32"/>
    </w:rPr>
  </w:style>
  <w:style w:type="character" w:customStyle="1" w:styleId="25">
    <w:name w:val="副标题 字符1"/>
    <w:basedOn w:val="16"/>
    <w:qFormat/>
    <w:uiPriority w:val="0"/>
    <w:rPr>
      <w:rFonts w:asciiTheme="minorHAnsi" w:hAnsiTheme="minorHAnsi" w:eastAsiaTheme="minorEastAsia" w:cstheme="minorBidi"/>
      <w:b/>
      <w:bCs/>
      <w:kern w:val="28"/>
      <w:sz w:val="32"/>
      <w:szCs w:val="32"/>
    </w:rPr>
  </w:style>
  <w:style w:type="paragraph" w:customStyle="1" w:styleId="26">
    <w:name w:val="mylist"/>
    <w:basedOn w:val="1"/>
    <w:link w:val="27"/>
    <w:qFormat/>
    <w:uiPriority w:val="0"/>
    <w:pPr>
      <w:widowControl/>
      <w:suppressAutoHyphens w:val="0"/>
      <w:spacing w:beforeLines="50" w:after="200" w:afterLines="50" w:line="276" w:lineRule="auto"/>
      <w:ind w:firstLine="200" w:firstLineChars="200"/>
      <w:jc w:val="left"/>
      <w:outlineLvl w:val="1"/>
    </w:pPr>
    <w:rPr>
      <w:rFonts w:asciiTheme="minorHAnsi" w:hAnsiTheme="minorHAnsi" w:eastAsiaTheme="minorEastAsia" w:cstheme="minorBidi"/>
      <w:b/>
      <w:kern w:val="0"/>
      <w:sz w:val="28"/>
      <w:szCs w:val="22"/>
    </w:rPr>
  </w:style>
  <w:style w:type="character" w:customStyle="1" w:styleId="27">
    <w:name w:val="mylist Char"/>
    <w:basedOn w:val="16"/>
    <w:link w:val="26"/>
    <w:qFormat/>
    <w:uiPriority w:val="0"/>
    <w:rPr>
      <w:rFonts w:asciiTheme="minorHAnsi" w:hAnsiTheme="minorHAnsi" w:eastAsiaTheme="minorEastAsia" w:cstheme="minorBidi"/>
      <w:b/>
      <w:sz w:val="28"/>
      <w:szCs w:val="22"/>
    </w:rPr>
  </w:style>
  <w:style w:type="character" w:customStyle="1" w:styleId="28">
    <w:name w:val="批注文字 字符"/>
    <w:basedOn w:val="16"/>
    <w:link w:val="5"/>
    <w:qFormat/>
    <w:uiPriority w:val="99"/>
    <w:rPr>
      <w:rFonts w:asciiTheme="minorHAnsi" w:hAnsiTheme="minorHAnsi" w:eastAsiaTheme="minorEastAsia" w:cstheme="minorBidi"/>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5633</Words>
  <Characters>5883</Characters>
  <Lines>42</Lines>
  <Paragraphs>11</Paragraphs>
  <TotalTime>2</TotalTime>
  <ScaleCrop>false</ScaleCrop>
  <LinksUpToDate>false</LinksUpToDate>
  <CharactersWithSpaces>5915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2023-03-19T14:29:00Z</dcterms:created>
  <dc:creator>痛仰</dc:creator>
  <cp:lastModifiedBy>Pc</cp:lastModifiedBy>
  <cp:lastPrinted>2022-09-28T19:05:00Z</cp:lastPrinted>
  <dcterms:modified xsi:type="dcterms:W3CDTF">2023-04-03T02:29:45Z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B3D6DF35FEDE49F9916D89623D475AD2_13</vt:lpwstr>
  </property>
</Properties>
</file>