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宋体" w:eastAsia="黑体"/>
          <w:sz w:val="36"/>
          <w:szCs w:val="36"/>
        </w:rPr>
      </w:pPr>
      <w:r>
        <w:rPr>
          <w:rFonts w:hint="eastAsia" w:ascii="黑体" w:hAnsi="宋体" w:eastAsia="黑体"/>
          <w:sz w:val="36"/>
          <w:szCs w:val="36"/>
          <w:lang w:val="en-US" w:eastAsia="zh-CN"/>
        </w:rPr>
        <w:t>会计学院新建实验室</w:t>
      </w:r>
      <w:r>
        <w:rPr>
          <w:rFonts w:hint="eastAsia" w:ascii="黑体" w:hAnsi="宋体" w:eastAsia="黑体"/>
          <w:sz w:val="36"/>
          <w:szCs w:val="36"/>
        </w:rPr>
        <w:t>家具</w:t>
      </w:r>
      <w:r>
        <w:rPr>
          <w:rFonts w:ascii="黑体" w:hAnsi="宋体" w:eastAsia="黑体"/>
          <w:sz w:val="36"/>
          <w:szCs w:val="36"/>
        </w:rPr>
        <w:t>设备</w:t>
      </w:r>
      <w:r>
        <w:rPr>
          <w:rFonts w:hint="eastAsia" w:ascii="黑体" w:hAnsi="宋体" w:eastAsia="黑体"/>
          <w:sz w:val="36"/>
          <w:szCs w:val="36"/>
        </w:rPr>
        <w:t>用户需求书</w:t>
      </w:r>
    </w:p>
    <w:p>
      <w:pPr>
        <w:ind w:firstLine="2160" w:firstLineChars="600"/>
        <w:rPr>
          <w:rFonts w:ascii="黑体" w:hAnsi="宋体" w:eastAsia="黑体"/>
          <w:sz w:val="36"/>
          <w:szCs w:val="36"/>
        </w:rPr>
      </w:pPr>
    </w:p>
    <w:p>
      <w:pPr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一、采购范围</w:t>
      </w:r>
    </w:p>
    <w:p>
      <w:pPr>
        <w:numPr>
          <w:ilvl w:val="0"/>
          <w:numId w:val="1"/>
        </w:numPr>
        <w:rPr>
          <w:rFonts w:asci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会计学院新建</w:t>
      </w:r>
      <w:r>
        <w:rPr>
          <w:rFonts w:hint="eastAsia" w:ascii="宋体" w:hAnsi="宋体"/>
          <w:sz w:val="24"/>
        </w:rPr>
        <w:t>实验室需采购实验室</w:t>
      </w:r>
      <w:r>
        <w:rPr>
          <w:rFonts w:ascii="宋体" w:hAnsi="宋体"/>
          <w:sz w:val="24"/>
        </w:rPr>
        <w:t>家具设备一批</w:t>
      </w:r>
      <w:r>
        <w:rPr>
          <w:rFonts w:hint="eastAsia" w:ascii="宋体" w:hAnsi="宋体"/>
          <w:sz w:val="24"/>
        </w:rPr>
        <w:t>。</w:t>
      </w:r>
    </w:p>
    <w:p>
      <w:pPr>
        <w:numPr>
          <w:ilvl w:val="0"/>
          <w:numId w:val="1"/>
        </w:numPr>
        <w:rPr>
          <w:rFonts w:ascii="宋体"/>
          <w:sz w:val="24"/>
        </w:rPr>
      </w:pPr>
      <w:r>
        <w:rPr>
          <w:rFonts w:hint="eastAsia"/>
          <w:sz w:val="24"/>
        </w:rPr>
        <w:t>项目从20</w:t>
      </w:r>
      <w:r>
        <w:rPr>
          <w:sz w:val="24"/>
        </w:rPr>
        <w:t>2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</w:rPr>
        <w:t>年设备预算列支，预算合计</w:t>
      </w:r>
      <w:r>
        <w:rPr>
          <w:rFonts w:hint="eastAsia"/>
          <w:sz w:val="24"/>
          <w:lang w:val="en-US" w:eastAsia="zh-CN"/>
        </w:rPr>
        <w:t>***</w:t>
      </w:r>
      <w:r>
        <w:rPr>
          <w:rFonts w:hint="eastAsia"/>
          <w:sz w:val="24"/>
        </w:rPr>
        <w:t>元，明细如下表：</w:t>
      </w:r>
    </w:p>
    <w:tbl>
      <w:tblPr>
        <w:tblStyle w:val="9"/>
        <w:tblW w:w="9667" w:type="dxa"/>
        <w:tblInd w:w="-37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"/>
        <w:gridCol w:w="1712"/>
        <w:gridCol w:w="738"/>
        <w:gridCol w:w="1116"/>
        <w:gridCol w:w="1967"/>
        <w:gridCol w:w="32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序号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设备</w:t>
            </w:r>
            <w:r>
              <w:rPr>
                <w:rFonts w:ascii="宋体" w:hAnsi="宋体" w:cs="宋体"/>
                <w:kern w:val="0"/>
                <w:szCs w:val="21"/>
              </w:rPr>
              <w:t>(</w:t>
            </w:r>
            <w:r>
              <w:rPr>
                <w:rFonts w:hint="eastAsia" w:ascii="宋体" w:hAnsi="宋体" w:cs="宋体"/>
                <w:kern w:val="0"/>
                <w:szCs w:val="21"/>
              </w:rPr>
              <w:t>货物</w:t>
            </w:r>
            <w:r>
              <w:rPr>
                <w:rFonts w:ascii="宋体" w:hAnsi="宋体" w:cs="宋体"/>
                <w:kern w:val="0"/>
                <w:szCs w:val="21"/>
              </w:rPr>
              <w:t>)</w:t>
            </w:r>
            <w:r>
              <w:rPr>
                <w:rFonts w:hint="eastAsia" w:ascii="宋体" w:hAnsi="宋体" w:cs="宋体"/>
                <w:kern w:val="0"/>
                <w:szCs w:val="21"/>
              </w:rPr>
              <w:t>名称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数量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放置位置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1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sz w:val="18"/>
                <w:szCs w:val="18"/>
                <w:lang w:val="en-US" w:eastAsia="zh-CN"/>
              </w:rPr>
              <w:t>实训椅网布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180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把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新建实验室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202、203、204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智能财务共享服务中心、财会综合实训中心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财会基础实验中心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2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实验室-教师转椅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3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把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新建实验室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202、203、204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智能财务共享服务中心、财会综合实训中心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财会基础实验中心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3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实验室-工作区10人位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9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套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新建实验室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202、203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智能财务共享服务中心、财会综合实训中心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4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票据中心实训椅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8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把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新建实验室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202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智能财务共享服务中心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kern w:val="0"/>
                <w:sz w:val="24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auto"/>
              </w:rPr>
              <w:t>5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实验室-工作区3人位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5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套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新建实验室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202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智能财务共享服务中心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kern w:val="0"/>
                <w:sz w:val="24"/>
                <w:shd w:val="clear" w:color="auto" w:fill="auto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hd w:val="clear" w:color="auto" w:fill="auto"/>
              </w:rPr>
              <w:t>6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票据中心-办公桌4人位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套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新建实验室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202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智能财务共享服务中心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highlight w:val="none"/>
              </w:rPr>
              <w:t>7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18"/>
                <w:szCs w:val="18"/>
                <w:highlight w:val="none"/>
                <w:lang w:bidi="ar"/>
              </w:rPr>
              <w:t>票据中心-边柜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18"/>
                <w:szCs w:val="18"/>
                <w:highlight w:val="none"/>
                <w:lang w:val="en-US" w:eastAsia="zh-CN" w:bidi="ar"/>
              </w:rPr>
              <w:t>4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18"/>
                <w:szCs w:val="18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18"/>
                <w:szCs w:val="18"/>
                <w:highlight w:val="none"/>
                <w:lang w:val="en-US" w:eastAsia="zh-CN" w:bidi="ar"/>
              </w:rPr>
              <w:t>套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</w:rPr>
              <w:t>新建实验室</w:t>
            </w:r>
            <w:r>
              <w:rPr>
                <w:rFonts w:hint="eastAsia" w:ascii="宋体" w:hAnsi="宋体" w:cs="宋体"/>
                <w:color w:val="auto"/>
                <w:sz w:val="18"/>
                <w:szCs w:val="18"/>
                <w:highlight w:val="none"/>
                <w:lang w:val="en-US" w:eastAsia="zh-CN"/>
              </w:rPr>
              <w:t>202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auto"/>
                <w:kern w:val="0"/>
                <w:sz w:val="18"/>
                <w:szCs w:val="18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18"/>
                <w:szCs w:val="18"/>
                <w:highlight w:val="none"/>
                <w:lang w:bidi="ar"/>
              </w:rPr>
              <w:t>智能财务共享服务中心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8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接待区-沙发椅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4+1茶几组合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套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新建实验室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202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智能财务共享服务中心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highlight w:val="none"/>
                <w:lang w:val="en-US" w:eastAsia="zh-CN"/>
              </w:rPr>
              <w:t>9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实验室-工作区6人位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套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</w:rPr>
              <w:t>新建实验室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204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财会基础实验中心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实验室-工作区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8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人位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4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套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</w:rPr>
              <w:t>新建实验室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204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财会基础实验中心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highlight w:val="none"/>
                <w:lang w:val="en-US" w:eastAsia="zh-CN"/>
              </w:rPr>
              <w:t>11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实验室-工作区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4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人位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4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套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</w:rPr>
              <w:t>新建实验室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204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财会基础实验中心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12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实验室-工作区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人位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2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套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</w:rPr>
              <w:t>新建实验室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203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财会综合实训中心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lang w:val="en-US" w:eastAsia="zh-CN"/>
              </w:rPr>
              <w:t>13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实验室-工作区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人位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1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套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</w:rPr>
              <w:t>新建实验室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203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财会综合实训中心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14</w:t>
            </w:r>
          </w:p>
        </w:tc>
        <w:tc>
          <w:tcPr>
            <w:tcW w:w="1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票据中心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bidi="ar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单据柜</w:t>
            </w:r>
          </w:p>
        </w:tc>
        <w:tc>
          <w:tcPr>
            <w:tcW w:w="7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8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 w:bidi="ar"/>
              </w:rPr>
              <w:t>套</w:t>
            </w:r>
          </w:p>
        </w:tc>
        <w:tc>
          <w:tcPr>
            <w:tcW w:w="196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</w:rPr>
              <w:t>新建实验室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202</w:t>
            </w:r>
          </w:p>
        </w:tc>
        <w:tc>
          <w:tcPr>
            <w:tcW w:w="3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18"/>
                <w:szCs w:val="18"/>
                <w:lang w:bidi="ar"/>
              </w:rPr>
              <w:t>智能财务共享服务中心</w:t>
            </w:r>
          </w:p>
        </w:tc>
      </w:tr>
    </w:tbl>
    <w:p>
      <w:pPr>
        <w:pStyle w:val="21"/>
        <w:ind w:firstLine="0" w:firstLineChars="0"/>
        <w:outlineLvl w:val="0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3、供应商需完成如下事项：</w:t>
      </w:r>
    </w:p>
    <w:p>
      <w:pPr>
        <w:pStyle w:val="21"/>
        <w:widowControl/>
        <w:ind w:left="0" w:leftChars="0" w:firstLine="480" w:firstLineChars="200"/>
        <w:jc w:val="left"/>
        <w:rPr>
          <w:rFonts w:asci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（</w:t>
      </w:r>
      <w:r>
        <w:rPr>
          <w:rFonts w:ascii="宋体" w:hAnsi="宋体" w:cs="宋体"/>
          <w:kern w:val="0"/>
          <w:sz w:val="24"/>
        </w:rPr>
        <w:t>1</w:t>
      </w:r>
      <w:r>
        <w:rPr>
          <w:rFonts w:hint="eastAsia" w:ascii="宋体" w:hAnsi="宋体" w:cs="宋体"/>
          <w:kern w:val="0"/>
          <w:sz w:val="24"/>
        </w:rPr>
        <w:t>）本项目合同需规定供应商于合同签订后</w:t>
      </w:r>
      <w:r>
        <w:rPr>
          <w:rFonts w:ascii="宋体" w:hAnsi="宋体" w:cs="宋体"/>
          <w:kern w:val="0"/>
          <w:sz w:val="24"/>
        </w:rPr>
        <w:t>30</w:t>
      </w:r>
      <w:r>
        <w:rPr>
          <w:rFonts w:hint="eastAsia" w:ascii="宋体" w:hAnsi="宋体" w:cs="宋体"/>
          <w:kern w:val="0"/>
          <w:sz w:val="24"/>
        </w:rPr>
        <w:t>天内完成项目设备的配送、安装、测试及验收工作。</w:t>
      </w:r>
    </w:p>
    <w:p>
      <w:pPr>
        <w:pStyle w:val="21"/>
        <w:ind w:firstLine="480"/>
        <w:jc w:val="left"/>
        <w:rPr>
          <w:rFonts w:ascii="宋体"/>
          <w:sz w:val="24"/>
        </w:rPr>
      </w:pPr>
      <w:r>
        <w:rPr>
          <w:rFonts w:hint="eastAsia" w:ascii="宋体" w:hAnsi="宋体"/>
          <w:sz w:val="24"/>
        </w:rPr>
        <w:t>（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）供应商报价需包括设备及相关附件的采购、试验、包装、送货、安装、验收、培训、税费、技术服务（包括技术资料的提供）、保修期保障、其它费用等一切支出。</w:t>
      </w:r>
    </w:p>
    <w:p>
      <w:pPr>
        <w:rPr>
          <w:rFonts w:ascii="宋体"/>
          <w:b/>
          <w:sz w:val="24"/>
        </w:rPr>
      </w:pPr>
      <w:r>
        <w:rPr>
          <w:rFonts w:hint="eastAsia" w:ascii="宋体" w:hAnsi="宋体"/>
          <w:b/>
          <w:sz w:val="24"/>
        </w:rPr>
        <w:t>二、商务需求</w:t>
      </w:r>
    </w:p>
    <w:p>
      <w:pPr>
        <w:ind w:firstLine="480" w:firstLineChars="200"/>
        <w:rPr>
          <w:rFonts w:ascii="宋体" w:hAnsi="宋体"/>
          <w:sz w:val="24"/>
          <w:highlight w:val="yellow"/>
        </w:rPr>
      </w:pP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、对供应商的资格要求：具有履行合同所必需的专业技术、安装能力；具备独立法人资格，注册资金为</w:t>
      </w:r>
      <w:r>
        <w:rPr>
          <w:rFonts w:ascii="宋体" w:hAnsi="宋体"/>
          <w:sz w:val="24"/>
        </w:rPr>
        <w:t>50</w:t>
      </w:r>
      <w:r>
        <w:rPr>
          <w:rFonts w:hint="eastAsia" w:ascii="宋体" w:hAnsi="宋体"/>
          <w:sz w:val="24"/>
        </w:rPr>
        <w:t>万元以上。</w:t>
      </w:r>
    </w:p>
    <w:p>
      <w:pPr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、提供免费上门进行安装调试及技术培训服务；</w:t>
      </w:r>
    </w:p>
    <w:p>
      <w:pPr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3</w:t>
      </w:r>
      <w:r>
        <w:rPr>
          <w:rFonts w:hint="eastAsia" w:ascii="宋体" w:hAnsi="宋体"/>
          <w:sz w:val="24"/>
        </w:rPr>
        <w:t>、提供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小时内快速响应的电话技术支持。所有软硬件三年上门保修，</w:t>
      </w:r>
      <w:r>
        <w:rPr>
          <w:rFonts w:ascii="宋体" w:hAnsi="宋体"/>
          <w:sz w:val="24"/>
        </w:rPr>
        <w:t>7*24</w:t>
      </w:r>
      <w:r>
        <w:rPr>
          <w:rFonts w:hint="eastAsia" w:ascii="宋体" w:hAnsi="宋体"/>
          <w:sz w:val="24"/>
        </w:rPr>
        <w:t>响应，最迟第二个工作日上门；</w:t>
      </w:r>
    </w:p>
    <w:p>
      <w:pPr>
        <w:ind w:firstLine="480" w:firstLineChars="200"/>
        <w:rPr>
          <w:rFonts w:ascii="宋体"/>
          <w:sz w:val="24"/>
        </w:rPr>
      </w:pPr>
      <w:r>
        <w:rPr>
          <w:rFonts w:ascii="宋体" w:hAnsi="宋体"/>
          <w:sz w:val="24"/>
        </w:rPr>
        <w:t>4</w:t>
      </w:r>
      <w:r>
        <w:rPr>
          <w:rFonts w:hint="eastAsia" w:ascii="宋体" w:hAnsi="宋体"/>
          <w:sz w:val="24"/>
        </w:rPr>
        <w:t>、供货方提供</w:t>
      </w:r>
      <w:r>
        <w:rPr>
          <w:rFonts w:ascii="宋体" w:hAnsi="宋体"/>
          <w:sz w:val="24"/>
        </w:rPr>
        <w:t>7</w:t>
      </w:r>
      <w:r>
        <w:rPr>
          <w:rFonts w:hint="eastAsia" w:ascii="宋体" w:hAnsi="宋体"/>
          <w:sz w:val="24"/>
        </w:rPr>
        <w:t>天</w:t>
      </w:r>
      <w:r>
        <w:rPr>
          <w:rFonts w:ascii="宋体" w:hAnsi="宋体"/>
          <w:sz w:val="24"/>
        </w:rPr>
        <w:t>/</w:t>
      </w:r>
      <w:r>
        <w:rPr>
          <w:rFonts w:hint="eastAsia" w:ascii="宋体" w:hAnsi="宋体"/>
          <w:sz w:val="24"/>
        </w:rPr>
        <w:t>周×</w:t>
      </w:r>
      <w:r>
        <w:rPr>
          <w:rFonts w:ascii="宋体" w:hAnsi="宋体"/>
          <w:sz w:val="24"/>
        </w:rPr>
        <w:t>24</w:t>
      </w:r>
      <w:r>
        <w:rPr>
          <w:rFonts w:hint="eastAsia" w:ascii="宋体" w:hAnsi="宋体"/>
          <w:sz w:val="24"/>
        </w:rPr>
        <w:t>小时全天候客户技术支持咨询服务；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5</w:t>
      </w:r>
      <w:r>
        <w:rPr>
          <w:rFonts w:hint="eastAsia" w:ascii="宋体" w:hAnsi="宋体"/>
          <w:sz w:val="24"/>
        </w:rPr>
        <w:t>、货物质量保证期为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年，质量保证期届满后，免费保修期为3年，货物如发生质量问题，供货方提供备件并派员更换以保证本货物能正常工作，全部费用由供货方承担；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6</w:t>
      </w:r>
      <w:r>
        <w:rPr>
          <w:rFonts w:hint="eastAsia" w:ascii="宋体" w:hAnsi="宋体"/>
          <w:sz w:val="24"/>
        </w:rPr>
        <w:t>、在供货方承诺的保修期间外，对所购设备提供终身有偿服务，供货方及时以成本价供应所需的设备零、配件并提供相关维护服务；</w:t>
      </w:r>
    </w:p>
    <w:p>
      <w:pPr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7</w:t>
      </w:r>
      <w:r>
        <w:rPr>
          <w:rFonts w:hint="eastAsia" w:ascii="宋体" w:hAnsi="宋体"/>
          <w:sz w:val="24"/>
        </w:rPr>
        <w:t>、合同签字生效后，以甲方发出书面通知之日起，</w:t>
      </w:r>
      <w:r>
        <w:rPr>
          <w:rFonts w:ascii="宋体" w:hAnsi="宋体"/>
          <w:sz w:val="24"/>
        </w:rPr>
        <w:t>30</w:t>
      </w:r>
      <w:r>
        <w:rPr>
          <w:rFonts w:hint="eastAsia" w:ascii="宋体" w:hAnsi="宋体"/>
          <w:sz w:val="24"/>
        </w:rPr>
        <w:t>个日历天内将货物运达目的地并安装完毕；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t>8</w:t>
      </w:r>
      <w:r>
        <w:rPr>
          <w:rFonts w:hint="eastAsia" w:ascii="宋体" w:hAnsi="宋体"/>
          <w:sz w:val="24"/>
        </w:rPr>
        <w:t>、付款方式：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）供货安装完工后，甲乙双方办理正式竣工验收及结算手续后，甲方于</w:t>
      </w:r>
      <w:r>
        <w:rPr>
          <w:rFonts w:ascii="宋体" w:hAnsi="宋体"/>
          <w:sz w:val="24"/>
        </w:rPr>
        <w:t>10</w:t>
      </w:r>
      <w:r>
        <w:rPr>
          <w:rFonts w:hint="eastAsia" w:ascii="宋体" w:hAnsi="宋体"/>
          <w:sz w:val="24"/>
        </w:rPr>
        <w:t>个工作日内支付结算款的</w:t>
      </w:r>
      <w:r>
        <w:rPr>
          <w:rFonts w:ascii="宋体" w:hAnsi="宋体"/>
          <w:sz w:val="24"/>
        </w:rPr>
        <w:t>95%</w:t>
      </w:r>
      <w:r>
        <w:rPr>
          <w:rFonts w:hint="eastAsia" w:ascii="宋体" w:hAnsi="宋体"/>
          <w:sz w:val="24"/>
        </w:rPr>
        <w:t>；</w:t>
      </w:r>
    </w:p>
    <w:p>
      <w:pPr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</w:t>
      </w:r>
      <w:r>
        <w:rPr>
          <w:rFonts w:ascii="宋体" w:hAnsi="宋体"/>
          <w:sz w:val="24"/>
        </w:rPr>
        <w:t>2</w:t>
      </w:r>
      <w:r>
        <w:rPr>
          <w:rFonts w:hint="eastAsia" w:ascii="宋体" w:hAnsi="宋体"/>
          <w:sz w:val="24"/>
        </w:rPr>
        <w:t>）余款</w:t>
      </w:r>
      <w:r>
        <w:rPr>
          <w:rFonts w:ascii="宋体" w:hAnsi="宋体"/>
          <w:sz w:val="24"/>
        </w:rPr>
        <w:t>5%</w:t>
      </w:r>
      <w:r>
        <w:rPr>
          <w:rFonts w:hint="eastAsia" w:ascii="宋体" w:hAnsi="宋体"/>
          <w:sz w:val="24"/>
        </w:rPr>
        <w:t>作为质量保证金，甲方在</w:t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年产品质量保证期满后</w:t>
      </w:r>
      <w:r>
        <w:rPr>
          <w:rFonts w:ascii="宋体" w:hAnsi="宋体"/>
          <w:sz w:val="24"/>
        </w:rPr>
        <w:t>10</w:t>
      </w:r>
      <w:r>
        <w:rPr>
          <w:rFonts w:hint="eastAsia" w:ascii="宋体" w:hAnsi="宋体"/>
          <w:sz w:val="24"/>
        </w:rPr>
        <w:t>个工作日内无息向乙方结清余下货款。</w:t>
      </w:r>
    </w:p>
    <w:p>
      <w:pPr>
        <w:rPr>
          <w:rFonts w:ascii="宋体"/>
          <w:b/>
          <w:sz w:val="24"/>
        </w:rPr>
      </w:pPr>
      <w:r>
        <w:rPr>
          <w:rFonts w:hint="eastAsia" w:ascii="宋体" w:hAnsi="宋体"/>
          <w:b/>
          <w:sz w:val="24"/>
          <w:lang w:val="en-US" w:eastAsia="zh-CN"/>
        </w:rPr>
        <w:t>三、</w:t>
      </w:r>
      <w:r>
        <w:rPr>
          <w:rFonts w:hint="eastAsia" w:ascii="宋体" w:hAnsi="宋体"/>
          <w:b/>
          <w:sz w:val="24"/>
        </w:rPr>
        <w:t>项目技术要求（</w:t>
      </w:r>
      <w:r>
        <w:rPr>
          <w:rFonts w:hint="eastAsia" w:ascii="宋体" w:hAnsi="宋体"/>
          <w:sz w:val="24"/>
        </w:rPr>
        <w:t>设备技术参数</w:t>
      </w:r>
      <w:r>
        <w:rPr>
          <w:rFonts w:ascii="宋体" w:hAnsi="宋体"/>
          <w:sz w:val="24"/>
        </w:rPr>
        <w:t>/</w:t>
      </w:r>
      <w:r>
        <w:rPr>
          <w:rFonts w:hint="eastAsia" w:ascii="宋体" w:hAnsi="宋体"/>
          <w:sz w:val="24"/>
        </w:rPr>
        <w:t>性能要求）</w:t>
      </w:r>
    </w:p>
    <w:tbl>
      <w:tblPr>
        <w:tblStyle w:val="9"/>
        <w:tblW w:w="8662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1"/>
        <w:gridCol w:w="1276"/>
        <w:gridCol w:w="4373"/>
        <w:gridCol w:w="24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设备名称</w:t>
            </w:r>
          </w:p>
        </w:tc>
        <w:tc>
          <w:tcPr>
            <w:tcW w:w="437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详细技术参数</w:t>
            </w:r>
            <w:r>
              <w:rPr>
                <w:rFonts w:ascii="宋体" w:hAnsi="宋体"/>
                <w:b/>
                <w:szCs w:val="21"/>
              </w:rPr>
              <w:t>/</w:t>
            </w:r>
            <w:r>
              <w:rPr>
                <w:rFonts w:hint="eastAsia" w:ascii="宋体" w:hAnsi="宋体"/>
                <w:b/>
                <w:szCs w:val="21"/>
              </w:rPr>
              <w:t>性能要求</w:t>
            </w:r>
          </w:p>
        </w:tc>
        <w:tc>
          <w:tcPr>
            <w:tcW w:w="248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53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eastAsia="宋体"/>
                <w:sz w:val="21"/>
                <w:szCs w:val="21"/>
                <w:lang w:val="en-US" w:eastAsia="zh-CN"/>
              </w:rPr>
              <w:t>实训椅网布</w:t>
            </w:r>
          </w:p>
        </w:tc>
        <w:tc>
          <w:tcPr>
            <w:tcW w:w="437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</w:rPr>
              <w:t>1.座椅材质：PP材质\抗撕网布颜色可选；</w:t>
            </w:r>
          </w:p>
          <w:p>
            <w:pPr>
              <w:adjustRightInd w:val="0"/>
              <w:snapToGrid w:val="0"/>
              <w:jc w:val="center"/>
              <w:rPr>
                <w:rFonts w:hint="eastAsia" w:ascii="宋体" w:hAnsi="宋体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</w:rPr>
              <w:t>2.靠背：采用人体工学弧形设计；</w:t>
            </w:r>
          </w:p>
          <w:p>
            <w:pPr>
              <w:adjustRightInd w:val="0"/>
              <w:snapToGrid w:val="0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Theme="minorEastAsia"/>
                <w:sz w:val="21"/>
                <w:szCs w:val="21"/>
              </w:rPr>
              <w:t>3.扶手类型：pp扶手；                                        4.尺寸：常规</w:t>
            </w:r>
            <w:r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Theme="minorEastAsia"/>
                <w:sz w:val="21"/>
                <w:szCs w:val="21"/>
              </w:rPr>
              <w:t xml:space="preserve">                                                          5. 不锈钢脚</w:t>
            </w:r>
            <w:r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482" w:type="dxa"/>
          </w:tcPr>
          <w:p>
            <w:pPr>
              <w:adjustRightInd w:val="0"/>
              <w:snapToGrid w:val="0"/>
              <w:rPr>
                <w:rFonts w:asciiTheme="minorEastAsia" w:hAnsiTheme="minorEastAsia" w:eastAsiaTheme="minorEastAsia"/>
                <w:color w:val="000000"/>
                <w:kern w:val="0"/>
                <w:szCs w:val="21"/>
                <w:lang w:bidi="ar"/>
              </w:rPr>
            </w:pPr>
            <w:r>
              <w:drawing>
                <wp:inline distT="0" distB="0" distL="114300" distR="114300">
                  <wp:extent cx="708660" cy="833120"/>
                  <wp:effectExtent l="0" t="0" r="15240" b="508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702310" cy="705485"/>
                  <wp:effectExtent l="0" t="0" r="2540" b="18415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4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</w:tabs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实验室-教师转椅</w:t>
            </w:r>
          </w:p>
        </w:tc>
        <w:tc>
          <w:tcPr>
            <w:tcW w:w="437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1.座椅材质：PP材质，原生海绵；</w:t>
            </w: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2.靠背：采用人体工学弧形设计；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3.扶手类型：pp扶手；                                        4.尺寸：常规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 xml:space="preserve">                                                           5.五星转角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482" w:type="dxa"/>
          </w:tcPr>
          <w:p>
            <w:pPr>
              <w:adjustRightInd w:val="0"/>
              <w:snapToGrid w:val="0"/>
              <w:rPr>
                <w:rFonts w:ascii="宋体" w:hAnsi="宋体"/>
                <w:bCs/>
                <w:szCs w:val="21"/>
              </w:rPr>
            </w:pPr>
            <w:r>
              <w:drawing>
                <wp:inline distT="0" distB="0" distL="114300" distR="114300">
                  <wp:extent cx="631190" cy="1013460"/>
                  <wp:effectExtent l="0" t="0" r="16510" b="1524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9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</w:tabs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实验室-工作区10人位</w:t>
            </w:r>
          </w:p>
        </w:tc>
        <w:tc>
          <w:tcPr>
            <w:tcW w:w="4373" w:type="dxa"/>
            <w:vAlign w:val="center"/>
          </w:tcPr>
          <w:p>
            <w:pPr>
              <w:numPr>
                <w:ilvl w:val="0"/>
                <w:numId w:val="0"/>
              </w:numPr>
              <w:adjustRightInd w:val="0"/>
              <w:snapToGrid w:val="0"/>
              <w:jc w:val="center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面板：免漆板（防火、耐磨、防水浸泡，能抵抗一般的酸、碱、油脂及酒精等溶剂腐蚀，表面平滑光洁，容易维护清洗；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厚度25mm；</w:t>
            </w:r>
          </w:p>
          <w:p>
            <w:pPr>
              <w:numPr>
                <w:ilvl w:val="0"/>
                <w:numId w:val="0"/>
              </w:numPr>
              <w:adjustRightInd w:val="0"/>
              <w:snapToGrid w:val="0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2.结构：钢结构镀膜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 xml:space="preserve">                                             3.桌面尺寸：定制，走线槽，主机位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4500*1100*750mm（根据现场实际尺寸定制）。</w:t>
            </w:r>
          </w:p>
        </w:tc>
        <w:tc>
          <w:tcPr>
            <w:tcW w:w="2482" w:type="dxa"/>
          </w:tcPr>
          <w:p>
            <w:pPr>
              <w:adjustRightInd w:val="0"/>
              <w:snapToGrid w:val="0"/>
              <w:rPr>
                <w:rFonts w:hint="eastAsia" w:ascii="宋体" w:hAnsi="宋体" w:eastAsia="宋体"/>
                <w:bCs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235075" cy="694690"/>
                  <wp:effectExtent l="0" t="0" r="3175" b="10160"/>
                  <wp:docPr id="1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36345" cy="815340"/>
                  <wp:effectExtent l="0" t="0" r="1905" b="3810"/>
                  <wp:docPr id="19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37005" cy="1009650"/>
                  <wp:effectExtent l="0" t="0" r="10795" b="0"/>
                  <wp:docPr id="3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4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</w:tabs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票据中心实训椅</w:t>
            </w:r>
          </w:p>
        </w:tc>
        <w:tc>
          <w:tcPr>
            <w:tcW w:w="437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1.座椅材质：PP材质\抗撕网布颜色可选；</w:t>
            </w: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2.靠背：采用人体工学弧形设计；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3.扶手类型：pp扶手；                                        4.尺寸：常规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 xml:space="preserve">                                                          5.不锈钢脚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482" w:type="dxa"/>
          </w:tcPr>
          <w:p>
            <w:pPr>
              <w:adjustRightInd w:val="0"/>
              <w:snapToGrid w:val="0"/>
              <w:rPr>
                <w:rFonts w:ascii="宋体" w:hAnsi="宋体"/>
                <w:bCs/>
                <w:szCs w:val="21"/>
              </w:rPr>
            </w:pPr>
            <w:r>
              <w:drawing>
                <wp:inline distT="0" distB="0" distL="114300" distR="114300">
                  <wp:extent cx="617855" cy="726440"/>
                  <wp:effectExtent l="0" t="0" r="10795" b="16510"/>
                  <wp:docPr id="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716280" cy="718820"/>
                  <wp:effectExtent l="0" t="0" r="7620" b="5080"/>
                  <wp:docPr id="2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0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</w:tabs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实验室-工作区3人位</w:t>
            </w:r>
          </w:p>
        </w:tc>
        <w:tc>
          <w:tcPr>
            <w:tcW w:w="4373" w:type="dxa"/>
            <w:vAlign w:val="center"/>
          </w:tcPr>
          <w:p>
            <w:pPr>
              <w:numPr>
                <w:ilvl w:val="0"/>
                <w:numId w:val="0"/>
              </w:numPr>
              <w:adjustRightInd w:val="0"/>
              <w:snapToGrid w:val="0"/>
              <w:jc w:val="center"/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1.面板：免漆板（防火、耐磨、防水浸泡，能抵抗一般的酸、碱、油脂及酒精等溶剂腐蚀，表面平滑光洁，容易维护清洗；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厚度25mm；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2.结构：钢结构镀膜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 xml:space="preserve">                                             3.桌面尺寸：定制，走线槽，主机位，异形桌面高750，桌面宽1000mm（根据现场实际尺寸定制）。</w:t>
            </w:r>
          </w:p>
        </w:tc>
        <w:tc>
          <w:tcPr>
            <w:tcW w:w="2482" w:type="dxa"/>
          </w:tcPr>
          <w:p>
            <w:pPr>
              <w:adjustRightInd w:val="0"/>
              <w:snapToGrid w:val="0"/>
              <w:jc w:val="left"/>
              <w:rPr>
                <w:rFonts w:ascii="宋体" w:hAnsi="宋体"/>
                <w:bCs/>
                <w:szCs w:val="21"/>
              </w:rPr>
            </w:pPr>
            <w:r>
              <w:drawing>
                <wp:inline distT="0" distB="0" distL="114300" distR="114300">
                  <wp:extent cx="1436370" cy="553085"/>
                  <wp:effectExtent l="0" t="0" r="11430" b="18415"/>
                  <wp:docPr id="1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</w:tabs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票据中心-办公桌4人位</w:t>
            </w:r>
          </w:p>
        </w:tc>
        <w:tc>
          <w:tcPr>
            <w:tcW w:w="4373" w:type="dxa"/>
            <w:vAlign w:val="center"/>
          </w:tcPr>
          <w:p>
            <w:pPr>
              <w:numPr>
                <w:ilvl w:val="0"/>
                <w:numId w:val="0"/>
              </w:numPr>
              <w:adjustRightInd w:val="0"/>
              <w:snapToGrid w:val="0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1.面板：免漆板（防火、耐磨、防水浸泡，能抵抗一般的酸、碱、油脂及酒精等溶剂腐蚀，表面平滑光洁，容易维护清洗；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厚度25mm；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2.结构：钢结构镀膜，主机位，走线槽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3.尺寸：2400*1200*750mm（根据现场实际尺寸定制）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482" w:type="dxa"/>
          </w:tcPr>
          <w:p>
            <w:pPr>
              <w:widowControl/>
              <w:rPr>
                <w:rFonts w:ascii="宋体" w:hAnsi="宋体"/>
                <w:bCs/>
                <w:szCs w:val="21"/>
              </w:rPr>
            </w:pPr>
            <w:r>
              <w:drawing>
                <wp:inline distT="0" distB="0" distL="114300" distR="114300">
                  <wp:extent cx="1181100" cy="662305"/>
                  <wp:effectExtent l="0" t="0" r="0" b="4445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89990" cy="555625"/>
                  <wp:effectExtent l="0" t="0" r="10160" b="15875"/>
                  <wp:docPr id="1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</w:tabs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eastAsia="宋体"/>
                <w:sz w:val="21"/>
                <w:szCs w:val="21"/>
                <w:highlight w:val="yellow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票据中心-边柜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eastAsia="zh-CN" w:bidi="ar"/>
              </w:rPr>
              <w:t>（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打印机柜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eastAsia="zh-CN" w:bidi="ar"/>
              </w:rPr>
              <w:t>）</w:t>
            </w:r>
          </w:p>
        </w:tc>
        <w:tc>
          <w:tcPr>
            <w:tcW w:w="437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1.面板：免漆板（防火、耐磨、防水浸泡，能抵抗一般的酸、碱、油脂及酒精等溶剂腐蚀，表面平滑光洁，容易维护清洗；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厚度25mm；</w:t>
            </w:r>
          </w:p>
          <w:p>
            <w:pPr>
              <w:adjustRightInd w:val="0"/>
              <w:snapToGrid w:val="0"/>
              <w:jc w:val="center"/>
              <w:rPr>
                <w:rFonts w:hint="eastAsia" w:ascii="宋体" w:hAnsi="宋体" w:eastAsia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2.尺寸：1200*500*800mm（根据现场实际尺寸定制）</w:t>
            </w:r>
            <w:r>
              <w:rPr>
                <w:rFonts w:hint="eastAsia" w:ascii="宋体" w:hAnsi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2482" w:type="dxa"/>
          </w:tcPr>
          <w:p>
            <w:pPr>
              <w:adjustRightInd w:val="0"/>
              <w:snapToGrid w:val="0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377315" cy="1372235"/>
                  <wp:effectExtent l="0" t="0" r="13335" b="18415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</w:tabs>
              <w:adjustRightInd w:val="0"/>
              <w:snapToGri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接待区-沙发椅</w:t>
            </w:r>
          </w:p>
        </w:tc>
        <w:tc>
          <w:tcPr>
            <w:tcW w:w="4373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1.面料：海绵坐垫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2.结构：金属脚椅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3.尺寸：常规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颜色可选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482" w:type="dxa"/>
          </w:tcPr>
          <w:p>
            <w:pPr>
              <w:widowControl/>
            </w:pPr>
            <w:r>
              <w:drawing>
                <wp:inline distT="0" distB="0" distL="114300" distR="114300">
                  <wp:extent cx="1437005" cy="744220"/>
                  <wp:effectExtent l="0" t="0" r="10795" b="17780"/>
                  <wp:docPr id="2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</w:tabs>
              <w:adjustRightInd w:val="0"/>
              <w:snapToGrid w:val="0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实验室-工作区6人位</w:t>
            </w:r>
          </w:p>
        </w:tc>
        <w:tc>
          <w:tcPr>
            <w:tcW w:w="4373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面板：钢琴烤漆，彩色线条（防火、耐磨、防水浸泡，能抵抗一般的酸、碱、油脂及酒精等溶剂腐蚀，表面平滑光洁，容易维护清洗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厚度50mm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2.结构：木作烤漆钢架结构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 xml:space="preserve">                                                3.桌面尺寸：定制，走线槽，主机位，直径180 0mm（根据现场实际尺寸定制）。</w:t>
            </w:r>
          </w:p>
        </w:tc>
        <w:tc>
          <w:tcPr>
            <w:tcW w:w="2482" w:type="dxa"/>
          </w:tcPr>
          <w:p>
            <w:pPr>
              <w:widowControl/>
            </w:pPr>
            <w:r>
              <w:drawing>
                <wp:inline distT="0" distB="0" distL="114300" distR="114300">
                  <wp:extent cx="1136650" cy="1047750"/>
                  <wp:effectExtent l="0" t="0" r="6350" b="0"/>
                  <wp:docPr id="2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</w:tabs>
              <w:adjustRightInd w:val="0"/>
              <w:snapToGrid w:val="0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10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实验室-工作区8人位</w:t>
            </w:r>
          </w:p>
        </w:tc>
        <w:tc>
          <w:tcPr>
            <w:tcW w:w="4373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面板：钢琴烤漆，彩色线条（防火、耐磨、防水浸泡，能抵抗一般的酸、碱、油脂及酒精等溶剂腐蚀，表面平滑光洁，容易维护清洗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厚度50mm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2.结构：木作烤漆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 xml:space="preserve">                                                3.桌面尺寸：定制，走线槽，主机位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3600*1000*750mm边柜600*1000*750mm（根据现场实际尺寸定制）。</w:t>
            </w:r>
          </w:p>
        </w:tc>
        <w:tc>
          <w:tcPr>
            <w:tcW w:w="2482" w:type="dxa"/>
          </w:tcPr>
          <w:p>
            <w:pPr>
              <w:widowControl/>
            </w:pPr>
            <w:r>
              <w:drawing>
                <wp:inline distT="0" distB="0" distL="114300" distR="114300">
                  <wp:extent cx="1284605" cy="810895"/>
                  <wp:effectExtent l="0" t="0" r="10795" b="8255"/>
                  <wp:docPr id="2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</w:tabs>
              <w:adjustRightInd w:val="0"/>
              <w:snapToGrid w:val="0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实验室-工作区4人位</w:t>
            </w:r>
          </w:p>
        </w:tc>
        <w:tc>
          <w:tcPr>
            <w:tcW w:w="4373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面板：钢琴烤漆，彩色线条（防火、耐磨、防水浸泡，能抵抗一般的酸、碱、油脂及酒精等溶剂腐蚀，表面平滑光洁，容易维护清洗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厚度50mm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2.结构：木作烤漆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 xml:space="preserve">                                                3.桌面尺寸：定制，走线槽，主机位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1800*1000*750mm边柜600*1000*750mm（根据现场实际尺寸定制）。</w:t>
            </w:r>
          </w:p>
        </w:tc>
        <w:tc>
          <w:tcPr>
            <w:tcW w:w="2482" w:type="dxa"/>
          </w:tcPr>
          <w:p>
            <w:pPr>
              <w:widowControl/>
            </w:pPr>
            <w:r>
              <w:drawing>
                <wp:inline distT="0" distB="0" distL="114300" distR="114300">
                  <wp:extent cx="1300480" cy="986155"/>
                  <wp:effectExtent l="0" t="0" r="13970" b="4445"/>
                  <wp:docPr id="2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48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5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</w:tabs>
              <w:adjustRightInd w:val="0"/>
              <w:snapToGrid w:val="0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实验室-工作区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人位</w:t>
            </w:r>
          </w:p>
        </w:tc>
        <w:tc>
          <w:tcPr>
            <w:tcW w:w="4373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面板：钢琴烤漆，彩色线条（防火、耐磨、防水浸泡，能抵抗一般的酸、碱、油脂及酒精等溶剂腐蚀，表面平滑光洁，容易维护清洗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厚度50mm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2.结构：木作烤漆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 xml:space="preserve">                                                3.桌面尺寸：定制，走线槽，主机位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5600*600*750mm（根据现场实际尺寸定制）。</w:t>
            </w:r>
          </w:p>
        </w:tc>
        <w:tc>
          <w:tcPr>
            <w:tcW w:w="2482" w:type="dxa"/>
          </w:tcPr>
          <w:p>
            <w:pPr>
              <w:widowControl/>
            </w:pPr>
            <w:r>
              <w:drawing>
                <wp:inline distT="0" distB="0" distL="114300" distR="114300">
                  <wp:extent cx="1436370" cy="908685"/>
                  <wp:effectExtent l="0" t="0" r="11430" b="5715"/>
                  <wp:docPr id="2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  <w:tab w:val="left" w:pos="314"/>
              </w:tabs>
              <w:adjustRightInd w:val="0"/>
              <w:snapToGrid w:val="0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实验室-工作区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人位</w:t>
            </w:r>
          </w:p>
        </w:tc>
        <w:tc>
          <w:tcPr>
            <w:tcW w:w="4373" w:type="dxa"/>
            <w:vAlign w:val="center"/>
          </w:tcPr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面板：钢琴烤漆，彩色线条（防火、耐磨、防水浸泡，能抵抗一般的酸、碱、油脂及酒精等溶剂腐蚀，表面平滑光洁，容易维护清洗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厚度50mm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>；</w:t>
            </w:r>
          </w:p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</w:rPr>
              <w:t>2.结构：木作烤漆</w:t>
            </w:r>
            <w:r>
              <w:rPr>
                <w:rFonts w:hint="eastAsia" w:ascii="宋体" w:hAnsi="宋体"/>
                <w:bCs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/>
                <w:bCs/>
                <w:sz w:val="21"/>
                <w:szCs w:val="21"/>
              </w:rPr>
              <w:t xml:space="preserve">                                                3.桌面尺寸：定制，走线槽，主机位，弧长9200*600*750mm半径1700mm（根据实际尺寸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定制。</w:t>
            </w:r>
          </w:p>
        </w:tc>
        <w:tc>
          <w:tcPr>
            <w:tcW w:w="2482" w:type="dxa"/>
          </w:tcPr>
          <w:p>
            <w:pPr>
              <w:widowControl/>
            </w:pPr>
            <w:r>
              <w:drawing>
                <wp:inline distT="0" distB="0" distL="114300" distR="114300">
                  <wp:extent cx="1437640" cy="801370"/>
                  <wp:effectExtent l="0" t="0" r="10160" b="17780"/>
                  <wp:docPr id="2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31" w:type="dxa"/>
            <w:vAlign w:val="center"/>
          </w:tcPr>
          <w:p>
            <w:pPr>
              <w:tabs>
                <w:tab w:val="center" w:pos="245"/>
                <w:tab w:val="left" w:pos="314"/>
              </w:tabs>
              <w:adjustRightInd w:val="0"/>
              <w:snapToGrid w:val="0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票据中心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bidi="ar"/>
              </w:rPr>
              <w:t>-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单据柜</w:t>
            </w:r>
          </w:p>
        </w:tc>
        <w:tc>
          <w:tcPr>
            <w:tcW w:w="437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</w:rPr>
              <w:t>1.面板：免漆板（防火、耐磨、防水浸泡，能抵抗一般的酸、碱、油脂及酒精等溶剂腐蚀，表面平滑光洁，容易维护清洗；</w:t>
            </w:r>
            <w:r>
              <w:rPr>
                <w:rFonts w:hint="eastAsia" w:ascii="宋体" w:hAnsi="宋体"/>
                <w:bCs/>
                <w:sz w:val="21"/>
                <w:szCs w:val="21"/>
                <w:lang w:val="en-US" w:eastAsia="zh-CN"/>
              </w:rPr>
              <w:t>厚度25mm；</w:t>
            </w:r>
          </w:p>
          <w:p>
            <w:pPr>
              <w:widowControl/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1"/>
                <w:szCs w:val="21"/>
              </w:rPr>
              <w:t>2.尺寸：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00*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35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0*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2000</w:t>
            </w:r>
            <w:r>
              <w:rPr>
                <w:rFonts w:hint="eastAsia" w:ascii="宋体" w:hAnsi="宋体"/>
                <w:color w:val="auto"/>
                <w:sz w:val="21"/>
                <w:szCs w:val="21"/>
              </w:rPr>
              <w:t>mm（根据现场实际尺寸定制）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eastAsia="zh-CN"/>
              </w:rPr>
              <w:t>。</w:t>
            </w:r>
          </w:p>
        </w:tc>
        <w:tc>
          <w:tcPr>
            <w:tcW w:w="2482" w:type="dxa"/>
          </w:tcPr>
          <w:p>
            <w:pPr>
              <w:widowControl/>
            </w:pPr>
            <w:r>
              <w:drawing>
                <wp:inline distT="0" distB="0" distL="114300" distR="114300">
                  <wp:extent cx="1189990" cy="1374140"/>
                  <wp:effectExtent l="0" t="0" r="10160" b="16510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90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00" w:lineRule="exact"/>
        <w:rPr>
          <w:rFonts w:ascii="宋体"/>
          <w:b/>
          <w:sz w:val="24"/>
        </w:rPr>
      </w:pPr>
      <w:r>
        <w:rPr>
          <w:rFonts w:hint="eastAsia" w:ascii="宋体" w:hAnsi="宋体"/>
          <w:b/>
          <w:sz w:val="24"/>
        </w:rPr>
        <w:t>四、项目服务要求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14:textFill>
            <w14:solidFill>
              <w14:schemeClr w14:val="tx1"/>
            </w14:solidFill>
          </w14:textFill>
        </w:rPr>
        <w:t>1、供应商提供对本项目的三年免费上门售后服务和服务承诺函服务。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2、供应商需为本项目管理人员提供设备维护及管理的培训服务。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3、供应商报价需包括设备及相关附件的采购、试验、包装、送货、安装、验收、培训、税费、技术服务（包括技术资料的提供）、保修期保障、其它费用等一切支出。免费保修期届满后，如甲方需要乙方继续提供维护服务，由甲乙双方另行协商。</w:t>
      </w:r>
    </w:p>
    <w:p>
      <w:pPr>
        <w:spacing w:line="400" w:lineRule="exact"/>
        <w:rPr>
          <w:rFonts w:hint="eastAsia"/>
          <w:sz w:val="24"/>
        </w:rPr>
      </w:pPr>
    </w:p>
    <w:p>
      <w:pPr>
        <w:spacing w:line="400" w:lineRule="exact"/>
        <w:rPr>
          <w:rFonts w:hint="eastAsia"/>
          <w:sz w:val="24"/>
        </w:rPr>
      </w:pPr>
    </w:p>
    <w:p>
      <w:pPr>
        <w:spacing w:line="400" w:lineRule="exact"/>
        <w:jc w:val="center"/>
        <w:rPr>
          <w:rFonts w:hint="eastAsia" w:asci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 xml:space="preserve">                                        </w:t>
      </w:r>
      <w:r>
        <w:rPr>
          <w:rFonts w:hint="eastAsia" w:ascii="宋体" w:hAnsi="宋体"/>
          <w:sz w:val="24"/>
          <w:lang w:val="en-US" w:eastAsia="zh-CN"/>
        </w:rPr>
        <w:t>会计学院</w:t>
      </w:r>
    </w:p>
    <w:p>
      <w:pPr>
        <w:spacing w:line="400" w:lineRule="exact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                                     202</w:t>
      </w:r>
      <w:r>
        <w:rPr>
          <w:rFonts w:hint="eastAsia" w:ascii="宋体" w:hAnsi="宋体"/>
          <w:sz w:val="24"/>
          <w:lang w:val="en-US" w:eastAsia="zh-CN"/>
        </w:rPr>
        <w:t>2</w:t>
      </w:r>
      <w:r>
        <w:rPr>
          <w:rFonts w:hint="eastAsia" w:ascii="宋体" w:hAnsi="宋体"/>
          <w:sz w:val="24"/>
        </w:rPr>
        <w:t>年</w:t>
      </w:r>
      <w:r>
        <w:rPr>
          <w:rFonts w:hint="eastAsia" w:ascii="宋体" w:hAnsi="宋体"/>
          <w:sz w:val="24"/>
          <w:lang w:val="en-US" w:eastAsia="zh-CN"/>
        </w:rPr>
        <w:t>3</w:t>
      </w:r>
      <w:r>
        <w:rPr>
          <w:rFonts w:hint="eastAsia" w:ascii="宋体" w:hAnsi="宋体"/>
          <w:sz w:val="24"/>
        </w:rPr>
        <w:t>月</w:t>
      </w:r>
      <w:r>
        <w:rPr>
          <w:rFonts w:hint="eastAsia" w:ascii="宋体" w:hAnsi="宋体"/>
          <w:sz w:val="24"/>
          <w:lang w:val="en-US" w:eastAsia="zh-CN"/>
        </w:rPr>
        <w:t>25</w:t>
      </w:r>
      <w:r>
        <w:rPr>
          <w:rFonts w:hint="eastAsia" w:ascii="宋体" w:hAnsi="宋体"/>
          <w:sz w:val="24"/>
        </w:rPr>
        <w:t>日</w:t>
      </w:r>
    </w:p>
    <w:sectPr>
      <w:footerReference r:id="rId3" w:type="default"/>
      <w:pgSz w:w="11906" w:h="16838"/>
      <w:pgMar w:top="993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Gungsuh">
    <w:altName w:val="Malgun Gothic"/>
    <w:panose1 w:val="02030600000101010101"/>
    <w:charset w:val="81"/>
    <w:family w:val="roman"/>
    <w:pitch w:val="default"/>
    <w:sig w:usb0="00000000" w:usb1="00000000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3</w:t>
    </w:r>
    <w:r>
      <w:rPr>
        <w:lang w:val="zh-CN"/>
      </w:rPr>
      <w:fldChar w:fldCharType="end"/>
    </w: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CB4271"/>
    <w:multiLevelType w:val="multilevel"/>
    <w:tmpl w:val="32CB427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kZDVjMjk5ZTMwOGQ5YzhjMjZiMDE2M2JmNmIwZjMifQ=="/>
  </w:docVars>
  <w:rsids>
    <w:rsidRoot w:val="00E4287B"/>
    <w:rsid w:val="000045C3"/>
    <w:rsid w:val="00013F31"/>
    <w:rsid w:val="0002073D"/>
    <w:rsid w:val="00022F36"/>
    <w:rsid w:val="00037C7E"/>
    <w:rsid w:val="00041BAE"/>
    <w:rsid w:val="00041D94"/>
    <w:rsid w:val="000460B8"/>
    <w:rsid w:val="00047DDB"/>
    <w:rsid w:val="00054EA7"/>
    <w:rsid w:val="00055A7E"/>
    <w:rsid w:val="00067CC6"/>
    <w:rsid w:val="00080E5C"/>
    <w:rsid w:val="000810D9"/>
    <w:rsid w:val="00084810"/>
    <w:rsid w:val="000D1266"/>
    <w:rsid w:val="000D4C33"/>
    <w:rsid w:val="000D7930"/>
    <w:rsid w:val="000E1429"/>
    <w:rsid w:val="00102348"/>
    <w:rsid w:val="00106257"/>
    <w:rsid w:val="001175E9"/>
    <w:rsid w:val="00120479"/>
    <w:rsid w:val="00125AE1"/>
    <w:rsid w:val="00140E01"/>
    <w:rsid w:val="001624FA"/>
    <w:rsid w:val="00165F7B"/>
    <w:rsid w:val="00166EBE"/>
    <w:rsid w:val="0017079E"/>
    <w:rsid w:val="00173F08"/>
    <w:rsid w:val="00177FC7"/>
    <w:rsid w:val="00181E9A"/>
    <w:rsid w:val="001828B1"/>
    <w:rsid w:val="0018566F"/>
    <w:rsid w:val="0019751D"/>
    <w:rsid w:val="001A2ADF"/>
    <w:rsid w:val="001A2B97"/>
    <w:rsid w:val="001A70E4"/>
    <w:rsid w:val="001B0491"/>
    <w:rsid w:val="001B5B3E"/>
    <w:rsid w:val="001B7817"/>
    <w:rsid w:val="001C4DE1"/>
    <w:rsid w:val="001C5CDB"/>
    <w:rsid w:val="001E0485"/>
    <w:rsid w:val="001E092C"/>
    <w:rsid w:val="001E254E"/>
    <w:rsid w:val="001F56A1"/>
    <w:rsid w:val="001F76F2"/>
    <w:rsid w:val="00210850"/>
    <w:rsid w:val="00212DCA"/>
    <w:rsid w:val="00213316"/>
    <w:rsid w:val="00221BE4"/>
    <w:rsid w:val="00227C0B"/>
    <w:rsid w:val="00232A42"/>
    <w:rsid w:val="0023673B"/>
    <w:rsid w:val="0024550D"/>
    <w:rsid w:val="00251A66"/>
    <w:rsid w:val="00252B92"/>
    <w:rsid w:val="002547B7"/>
    <w:rsid w:val="0026503A"/>
    <w:rsid w:val="002661D4"/>
    <w:rsid w:val="00281B6E"/>
    <w:rsid w:val="0029320F"/>
    <w:rsid w:val="0029555D"/>
    <w:rsid w:val="002A6706"/>
    <w:rsid w:val="002B2F06"/>
    <w:rsid w:val="002B6A2A"/>
    <w:rsid w:val="002B704D"/>
    <w:rsid w:val="002E0181"/>
    <w:rsid w:val="002E51F7"/>
    <w:rsid w:val="002E6A32"/>
    <w:rsid w:val="002F75A4"/>
    <w:rsid w:val="0030591D"/>
    <w:rsid w:val="003106B0"/>
    <w:rsid w:val="0031333A"/>
    <w:rsid w:val="00314CF9"/>
    <w:rsid w:val="0031644E"/>
    <w:rsid w:val="00332BCE"/>
    <w:rsid w:val="00342428"/>
    <w:rsid w:val="00345969"/>
    <w:rsid w:val="00345FE3"/>
    <w:rsid w:val="00346F77"/>
    <w:rsid w:val="00374150"/>
    <w:rsid w:val="00376DCD"/>
    <w:rsid w:val="00377DA7"/>
    <w:rsid w:val="00380867"/>
    <w:rsid w:val="0038236B"/>
    <w:rsid w:val="003827BE"/>
    <w:rsid w:val="00387683"/>
    <w:rsid w:val="00390598"/>
    <w:rsid w:val="003A6CEA"/>
    <w:rsid w:val="003B12E6"/>
    <w:rsid w:val="003B61C5"/>
    <w:rsid w:val="003B6C68"/>
    <w:rsid w:val="003C7014"/>
    <w:rsid w:val="003D0C05"/>
    <w:rsid w:val="003D3E79"/>
    <w:rsid w:val="003D4C50"/>
    <w:rsid w:val="003D6DB7"/>
    <w:rsid w:val="003F26D6"/>
    <w:rsid w:val="003F3C84"/>
    <w:rsid w:val="003F4A67"/>
    <w:rsid w:val="003F5699"/>
    <w:rsid w:val="003F5EDE"/>
    <w:rsid w:val="003F7C47"/>
    <w:rsid w:val="004018FF"/>
    <w:rsid w:val="00404F3C"/>
    <w:rsid w:val="0041289A"/>
    <w:rsid w:val="00417D99"/>
    <w:rsid w:val="00420316"/>
    <w:rsid w:val="0042194C"/>
    <w:rsid w:val="004370A9"/>
    <w:rsid w:val="00450B56"/>
    <w:rsid w:val="0045306F"/>
    <w:rsid w:val="00457A13"/>
    <w:rsid w:val="00464CF4"/>
    <w:rsid w:val="00473634"/>
    <w:rsid w:val="004764DD"/>
    <w:rsid w:val="0047751E"/>
    <w:rsid w:val="0048698D"/>
    <w:rsid w:val="00486ED3"/>
    <w:rsid w:val="004973BD"/>
    <w:rsid w:val="004A08E4"/>
    <w:rsid w:val="004A34C7"/>
    <w:rsid w:val="004A4699"/>
    <w:rsid w:val="004A4C3E"/>
    <w:rsid w:val="004B42D1"/>
    <w:rsid w:val="004C00BF"/>
    <w:rsid w:val="004C0BCE"/>
    <w:rsid w:val="004C163D"/>
    <w:rsid w:val="004C2B80"/>
    <w:rsid w:val="004D2FF8"/>
    <w:rsid w:val="004E19AF"/>
    <w:rsid w:val="004E273B"/>
    <w:rsid w:val="004F0E03"/>
    <w:rsid w:val="004F1004"/>
    <w:rsid w:val="004F498D"/>
    <w:rsid w:val="004F6BB2"/>
    <w:rsid w:val="005016DB"/>
    <w:rsid w:val="00502341"/>
    <w:rsid w:val="00502990"/>
    <w:rsid w:val="0051781B"/>
    <w:rsid w:val="005218A9"/>
    <w:rsid w:val="00540410"/>
    <w:rsid w:val="00553419"/>
    <w:rsid w:val="00557E78"/>
    <w:rsid w:val="005641EC"/>
    <w:rsid w:val="00570E74"/>
    <w:rsid w:val="00571D64"/>
    <w:rsid w:val="005845AC"/>
    <w:rsid w:val="00586296"/>
    <w:rsid w:val="005A21FA"/>
    <w:rsid w:val="005A3A14"/>
    <w:rsid w:val="005A67C2"/>
    <w:rsid w:val="005B4B76"/>
    <w:rsid w:val="005D1E89"/>
    <w:rsid w:val="005D47D0"/>
    <w:rsid w:val="005D6D14"/>
    <w:rsid w:val="005E5513"/>
    <w:rsid w:val="005F10BC"/>
    <w:rsid w:val="005F5621"/>
    <w:rsid w:val="00601D6F"/>
    <w:rsid w:val="006023E7"/>
    <w:rsid w:val="00611270"/>
    <w:rsid w:val="00613885"/>
    <w:rsid w:val="006250D7"/>
    <w:rsid w:val="00631ABA"/>
    <w:rsid w:val="00636173"/>
    <w:rsid w:val="00641A90"/>
    <w:rsid w:val="00650C4E"/>
    <w:rsid w:val="0065270B"/>
    <w:rsid w:val="00655872"/>
    <w:rsid w:val="00671E09"/>
    <w:rsid w:val="00681B7F"/>
    <w:rsid w:val="00687AA1"/>
    <w:rsid w:val="00687EAC"/>
    <w:rsid w:val="00692041"/>
    <w:rsid w:val="00695F4F"/>
    <w:rsid w:val="00696272"/>
    <w:rsid w:val="00696CD4"/>
    <w:rsid w:val="006A1EDA"/>
    <w:rsid w:val="006B7F00"/>
    <w:rsid w:val="006D25A8"/>
    <w:rsid w:val="006D3B41"/>
    <w:rsid w:val="006D6C71"/>
    <w:rsid w:val="006E08F9"/>
    <w:rsid w:val="006F030E"/>
    <w:rsid w:val="006F14ED"/>
    <w:rsid w:val="006F4A9E"/>
    <w:rsid w:val="00707535"/>
    <w:rsid w:val="00707F09"/>
    <w:rsid w:val="00712A01"/>
    <w:rsid w:val="0071663F"/>
    <w:rsid w:val="00720149"/>
    <w:rsid w:val="00722272"/>
    <w:rsid w:val="0072724D"/>
    <w:rsid w:val="00731BF9"/>
    <w:rsid w:val="00740B8F"/>
    <w:rsid w:val="00741BF3"/>
    <w:rsid w:val="00742618"/>
    <w:rsid w:val="007429D4"/>
    <w:rsid w:val="0074761C"/>
    <w:rsid w:val="007539F2"/>
    <w:rsid w:val="00761955"/>
    <w:rsid w:val="00771266"/>
    <w:rsid w:val="00782F20"/>
    <w:rsid w:val="00787674"/>
    <w:rsid w:val="007A59A8"/>
    <w:rsid w:val="007B58A4"/>
    <w:rsid w:val="007D14FE"/>
    <w:rsid w:val="007E78E0"/>
    <w:rsid w:val="007F0A59"/>
    <w:rsid w:val="007F4B1D"/>
    <w:rsid w:val="007F7EE5"/>
    <w:rsid w:val="0080240B"/>
    <w:rsid w:val="00833FF9"/>
    <w:rsid w:val="00836B6D"/>
    <w:rsid w:val="008655D8"/>
    <w:rsid w:val="00882ED4"/>
    <w:rsid w:val="0088336D"/>
    <w:rsid w:val="008902A8"/>
    <w:rsid w:val="00896057"/>
    <w:rsid w:val="008A0B4E"/>
    <w:rsid w:val="008A0B5C"/>
    <w:rsid w:val="008A3372"/>
    <w:rsid w:val="008A728F"/>
    <w:rsid w:val="008B1735"/>
    <w:rsid w:val="008B2F3A"/>
    <w:rsid w:val="008C3F0B"/>
    <w:rsid w:val="008D1951"/>
    <w:rsid w:val="008D52CC"/>
    <w:rsid w:val="008E0E13"/>
    <w:rsid w:val="008E5E08"/>
    <w:rsid w:val="008E626F"/>
    <w:rsid w:val="00900429"/>
    <w:rsid w:val="00905D55"/>
    <w:rsid w:val="00906DB4"/>
    <w:rsid w:val="00910DAB"/>
    <w:rsid w:val="0091146B"/>
    <w:rsid w:val="00912056"/>
    <w:rsid w:val="00914A2A"/>
    <w:rsid w:val="00915FDF"/>
    <w:rsid w:val="00916033"/>
    <w:rsid w:val="00920A56"/>
    <w:rsid w:val="00922580"/>
    <w:rsid w:val="00933683"/>
    <w:rsid w:val="00940C11"/>
    <w:rsid w:val="0094108A"/>
    <w:rsid w:val="00944044"/>
    <w:rsid w:val="0094694A"/>
    <w:rsid w:val="00947694"/>
    <w:rsid w:val="00954609"/>
    <w:rsid w:val="009769A3"/>
    <w:rsid w:val="0098545A"/>
    <w:rsid w:val="00985B5B"/>
    <w:rsid w:val="00985CF2"/>
    <w:rsid w:val="00986F8A"/>
    <w:rsid w:val="00990632"/>
    <w:rsid w:val="009A5876"/>
    <w:rsid w:val="009C023F"/>
    <w:rsid w:val="009C04CA"/>
    <w:rsid w:val="009C0724"/>
    <w:rsid w:val="009C438B"/>
    <w:rsid w:val="009D37AC"/>
    <w:rsid w:val="009E01BA"/>
    <w:rsid w:val="009E4321"/>
    <w:rsid w:val="009E618C"/>
    <w:rsid w:val="009F4CDB"/>
    <w:rsid w:val="00A006F9"/>
    <w:rsid w:val="00A06559"/>
    <w:rsid w:val="00A112BF"/>
    <w:rsid w:val="00A17D9B"/>
    <w:rsid w:val="00A36764"/>
    <w:rsid w:val="00A409C0"/>
    <w:rsid w:val="00A41198"/>
    <w:rsid w:val="00A50332"/>
    <w:rsid w:val="00A50A22"/>
    <w:rsid w:val="00A51C36"/>
    <w:rsid w:val="00A6342F"/>
    <w:rsid w:val="00A72131"/>
    <w:rsid w:val="00A8017A"/>
    <w:rsid w:val="00A837F4"/>
    <w:rsid w:val="00A8399C"/>
    <w:rsid w:val="00A91157"/>
    <w:rsid w:val="00A9261E"/>
    <w:rsid w:val="00AB2EDE"/>
    <w:rsid w:val="00AB40FA"/>
    <w:rsid w:val="00AB460E"/>
    <w:rsid w:val="00AC35B1"/>
    <w:rsid w:val="00AC65B0"/>
    <w:rsid w:val="00AC7066"/>
    <w:rsid w:val="00AD149F"/>
    <w:rsid w:val="00AD58A1"/>
    <w:rsid w:val="00AE0366"/>
    <w:rsid w:val="00AE2BAD"/>
    <w:rsid w:val="00AF0D1B"/>
    <w:rsid w:val="00AF5133"/>
    <w:rsid w:val="00AF7997"/>
    <w:rsid w:val="00B006FE"/>
    <w:rsid w:val="00B06045"/>
    <w:rsid w:val="00B06E4E"/>
    <w:rsid w:val="00B079F5"/>
    <w:rsid w:val="00B16F82"/>
    <w:rsid w:val="00B22647"/>
    <w:rsid w:val="00B27613"/>
    <w:rsid w:val="00B3192B"/>
    <w:rsid w:val="00B329E7"/>
    <w:rsid w:val="00B34FB8"/>
    <w:rsid w:val="00B378F3"/>
    <w:rsid w:val="00B45C7C"/>
    <w:rsid w:val="00B53C9B"/>
    <w:rsid w:val="00B53DBA"/>
    <w:rsid w:val="00B71727"/>
    <w:rsid w:val="00B72866"/>
    <w:rsid w:val="00B8140B"/>
    <w:rsid w:val="00B91E10"/>
    <w:rsid w:val="00BA2B2F"/>
    <w:rsid w:val="00BA6A73"/>
    <w:rsid w:val="00BB4ACC"/>
    <w:rsid w:val="00BB6F96"/>
    <w:rsid w:val="00BC48A0"/>
    <w:rsid w:val="00BC7393"/>
    <w:rsid w:val="00BD5F23"/>
    <w:rsid w:val="00BE0167"/>
    <w:rsid w:val="00BE506A"/>
    <w:rsid w:val="00BF47E3"/>
    <w:rsid w:val="00C17969"/>
    <w:rsid w:val="00C25D70"/>
    <w:rsid w:val="00C33CF7"/>
    <w:rsid w:val="00C33FF1"/>
    <w:rsid w:val="00C361E6"/>
    <w:rsid w:val="00C446FC"/>
    <w:rsid w:val="00C55D61"/>
    <w:rsid w:val="00C60FD1"/>
    <w:rsid w:val="00C6337D"/>
    <w:rsid w:val="00C66939"/>
    <w:rsid w:val="00C66F1B"/>
    <w:rsid w:val="00C82FA5"/>
    <w:rsid w:val="00C90F68"/>
    <w:rsid w:val="00C93A8C"/>
    <w:rsid w:val="00CA6229"/>
    <w:rsid w:val="00CB1A35"/>
    <w:rsid w:val="00CD3CE6"/>
    <w:rsid w:val="00CE4DA1"/>
    <w:rsid w:val="00CF0ED9"/>
    <w:rsid w:val="00CF36B6"/>
    <w:rsid w:val="00D06401"/>
    <w:rsid w:val="00D07EE4"/>
    <w:rsid w:val="00D12C81"/>
    <w:rsid w:val="00D1790C"/>
    <w:rsid w:val="00D25A7E"/>
    <w:rsid w:val="00D273B0"/>
    <w:rsid w:val="00D33FC0"/>
    <w:rsid w:val="00D345C0"/>
    <w:rsid w:val="00D50B06"/>
    <w:rsid w:val="00D643DD"/>
    <w:rsid w:val="00D65A3A"/>
    <w:rsid w:val="00D669DA"/>
    <w:rsid w:val="00D722EA"/>
    <w:rsid w:val="00D74D8A"/>
    <w:rsid w:val="00D81F79"/>
    <w:rsid w:val="00D833BE"/>
    <w:rsid w:val="00DA58C6"/>
    <w:rsid w:val="00DA68ED"/>
    <w:rsid w:val="00DD576D"/>
    <w:rsid w:val="00DE538C"/>
    <w:rsid w:val="00DF1870"/>
    <w:rsid w:val="00DF24C4"/>
    <w:rsid w:val="00E0226F"/>
    <w:rsid w:val="00E063EF"/>
    <w:rsid w:val="00E21811"/>
    <w:rsid w:val="00E24E59"/>
    <w:rsid w:val="00E33D59"/>
    <w:rsid w:val="00E3541B"/>
    <w:rsid w:val="00E4287B"/>
    <w:rsid w:val="00E42D51"/>
    <w:rsid w:val="00E4318C"/>
    <w:rsid w:val="00E4447A"/>
    <w:rsid w:val="00E5690D"/>
    <w:rsid w:val="00E624D9"/>
    <w:rsid w:val="00E64BE0"/>
    <w:rsid w:val="00E76DFD"/>
    <w:rsid w:val="00E8529F"/>
    <w:rsid w:val="00E90EE5"/>
    <w:rsid w:val="00E93BB7"/>
    <w:rsid w:val="00E952C1"/>
    <w:rsid w:val="00EA1B21"/>
    <w:rsid w:val="00EA4787"/>
    <w:rsid w:val="00EB10B8"/>
    <w:rsid w:val="00EB75BB"/>
    <w:rsid w:val="00EC1D86"/>
    <w:rsid w:val="00EC7D1D"/>
    <w:rsid w:val="00ED08EB"/>
    <w:rsid w:val="00ED5614"/>
    <w:rsid w:val="00EE0367"/>
    <w:rsid w:val="00EF7B24"/>
    <w:rsid w:val="00F111BB"/>
    <w:rsid w:val="00F15007"/>
    <w:rsid w:val="00F24BB1"/>
    <w:rsid w:val="00F262B4"/>
    <w:rsid w:val="00F2756F"/>
    <w:rsid w:val="00F31BCA"/>
    <w:rsid w:val="00F457DD"/>
    <w:rsid w:val="00F463C2"/>
    <w:rsid w:val="00F46F5D"/>
    <w:rsid w:val="00F4755A"/>
    <w:rsid w:val="00F6041A"/>
    <w:rsid w:val="00F64E11"/>
    <w:rsid w:val="00F8004C"/>
    <w:rsid w:val="00F84405"/>
    <w:rsid w:val="00F86D2C"/>
    <w:rsid w:val="00FA09BB"/>
    <w:rsid w:val="00FB21D9"/>
    <w:rsid w:val="00FB23D6"/>
    <w:rsid w:val="00FB353D"/>
    <w:rsid w:val="00FB4CFB"/>
    <w:rsid w:val="00FB79A7"/>
    <w:rsid w:val="00FC0FC1"/>
    <w:rsid w:val="00FC1860"/>
    <w:rsid w:val="00FC19D4"/>
    <w:rsid w:val="00FC33F3"/>
    <w:rsid w:val="00FD1CA8"/>
    <w:rsid w:val="00FF1B34"/>
    <w:rsid w:val="00FF5892"/>
    <w:rsid w:val="00FF77AF"/>
    <w:rsid w:val="01496549"/>
    <w:rsid w:val="0206093C"/>
    <w:rsid w:val="021C44AC"/>
    <w:rsid w:val="03DD111B"/>
    <w:rsid w:val="051769CE"/>
    <w:rsid w:val="066F4C65"/>
    <w:rsid w:val="07135287"/>
    <w:rsid w:val="077D2A36"/>
    <w:rsid w:val="07D823B5"/>
    <w:rsid w:val="07D86C46"/>
    <w:rsid w:val="07F648C5"/>
    <w:rsid w:val="0A0F73EF"/>
    <w:rsid w:val="0B7C0E42"/>
    <w:rsid w:val="0C11349A"/>
    <w:rsid w:val="0C323A96"/>
    <w:rsid w:val="0DDC4EB1"/>
    <w:rsid w:val="0E285463"/>
    <w:rsid w:val="0F4C6493"/>
    <w:rsid w:val="0FA6435B"/>
    <w:rsid w:val="0FFC4BB6"/>
    <w:rsid w:val="10C87DAD"/>
    <w:rsid w:val="10D4516D"/>
    <w:rsid w:val="10DF6DB7"/>
    <w:rsid w:val="10F60A2B"/>
    <w:rsid w:val="11E26A6C"/>
    <w:rsid w:val="121D70A2"/>
    <w:rsid w:val="125F5BF6"/>
    <w:rsid w:val="13FA5F00"/>
    <w:rsid w:val="14045018"/>
    <w:rsid w:val="16C4778B"/>
    <w:rsid w:val="16ED102C"/>
    <w:rsid w:val="1890774A"/>
    <w:rsid w:val="18F23079"/>
    <w:rsid w:val="19B92D22"/>
    <w:rsid w:val="1AEF6F51"/>
    <w:rsid w:val="1B057280"/>
    <w:rsid w:val="1BE20386"/>
    <w:rsid w:val="1CD54650"/>
    <w:rsid w:val="1E082B59"/>
    <w:rsid w:val="1E331BF6"/>
    <w:rsid w:val="21E60681"/>
    <w:rsid w:val="227E5BEF"/>
    <w:rsid w:val="2326794D"/>
    <w:rsid w:val="236D7A5F"/>
    <w:rsid w:val="252C4574"/>
    <w:rsid w:val="25F4233C"/>
    <w:rsid w:val="26D90ED6"/>
    <w:rsid w:val="26E045CB"/>
    <w:rsid w:val="281601F4"/>
    <w:rsid w:val="28AD7153"/>
    <w:rsid w:val="29F1738F"/>
    <w:rsid w:val="2D0259E5"/>
    <w:rsid w:val="2FB9535A"/>
    <w:rsid w:val="30BF3803"/>
    <w:rsid w:val="31D40B44"/>
    <w:rsid w:val="32D80F0B"/>
    <w:rsid w:val="338C16E2"/>
    <w:rsid w:val="36B3501F"/>
    <w:rsid w:val="37537AF1"/>
    <w:rsid w:val="37DE21AC"/>
    <w:rsid w:val="38F24DEB"/>
    <w:rsid w:val="38FF03F4"/>
    <w:rsid w:val="39495B34"/>
    <w:rsid w:val="39FC68CD"/>
    <w:rsid w:val="3A35090C"/>
    <w:rsid w:val="3AE752A8"/>
    <w:rsid w:val="3B17620D"/>
    <w:rsid w:val="3CD5525A"/>
    <w:rsid w:val="3D8D68ED"/>
    <w:rsid w:val="3DD42EC3"/>
    <w:rsid w:val="4056369E"/>
    <w:rsid w:val="408B2EAB"/>
    <w:rsid w:val="42EE6CED"/>
    <w:rsid w:val="451D0018"/>
    <w:rsid w:val="46366D4E"/>
    <w:rsid w:val="46460B0A"/>
    <w:rsid w:val="46D707C7"/>
    <w:rsid w:val="492D5DB3"/>
    <w:rsid w:val="49D34E5B"/>
    <w:rsid w:val="4A796961"/>
    <w:rsid w:val="4AFA34EE"/>
    <w:rsid w:val="4C20336A"/>
    <w:rsid w:val="4D700CA0"/>
    <w:rsid w:val="4E1748F1"/>
    <w:rsid w:val="4E35303E"/>
    <w:rsid w:val="4EB51AB7"/>
    <w:rsid w:val="4EE43714"/>
    <w:rsid w:val="4FB30924"/>
    <w:rsid w:val="4FB9634C"/>
    <w:rsid w:val="518B7EA1"/>
    <w:rsid w:val="51E11DEA"/>
    <w:rsid w:val="51F05D0E"/>
    <w:rsid w:val="534742E5"/>
    <w:rsid w:val="538D7F3F"/>
    <w:rsid w:val="558C5791"/>
    <w:rsid w:val="55B2111B"/>
    <w:rsid w:val="562F0B08"/>
    <w:rsid w:val="57A03773"/>
    <w:rsid w:val="58AA2681"/>
    <w:rsid w:val="58E660B8"/>
    <w:rsid w:val="592E6C99"/>
    <w:rsid w:val="593D33DC"/>
    <w:rsid w:val="5AE06A2A"/>
    <w:rsid w:val="5B676739"/>
    <w:rsid w:val="5CBC7AF4"/>
    <w:rsid w:val="5D9672C9"/>
    <w:rsid w:val="5F9400CE"/>
    <w:rsid w:val="60070D50"/>
    <w:rsid w:val="60F30830"/>
    <w:rsid w:val="621B3F47"/>
    <w:rsid w:val="62B2525D"/>
    <w:rsid w:val="635005D0"/>
    <w:rsid w:val="666F1301"/>
    <w:rsid w:val="67620FE6"/>
    <w:rsid w:val="677921ED"/>
    <w:rsid w:val="689E14F4"/>
    <w:rsid w:val="69582E0E"/>
    <w:rsid w:val="6AA139D6"/>
    <w:rsid w:val="6C0C24FD"/>
    <w:rsid w:val="6C7011BC"/>
    <w:rsid w:val="6E3E0A13"/>
    <w:rsid w:val="6E8923B6"/>
    <w:rsid w:val="6FE824F1"/>
    <w:rsid w:val="70A73130"/>
    <w:rsid w:val="7197580E"/>
    <w:rsid w:val="72FB3F0C"/>
    <w:rsid w:val="739849ED"/>
    <w:rsid w:val="73AD295B"/>
    <w:rsid w:val="748F1601"/>
    <w:rsid w:val="74BD53BB"/>
    <w:rsid w:val="74FA55AD"/>
    <w:rsid w:val="769A6D0C"/>
    <w:rsid w:val="77586D5D"/>
    <w:rsid w:val="77EF50DF"/>
    <w:rsid w:val="7999143F"/>
    <w:rsid w:val="7A0F7C87"/>
    <w:rsid w:val="7B88516B"/>
    <w:rsid w:val="7C705B15"/>
    <w:rsid w:val="7D3E0435"/>
    <w:rsid w:val="7D6F4EFB"/>
    <w:rsid w:val="7DCD3B10"/>
    <w:rsid w:val="7E5114F1"/>
    <w:rsid w:val="7FD9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99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qFormat="1" w:unhideWhenUsed="0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locked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20"/>
    <w:semiHidden/>
    <w:qFormat/>
    <w:uiPriority w:val="99"/>
    <w:rPr>
      <w:rFonts w:ascii="宋体"/>
      <w:sz w:val="18"/>
      <w:szCs w:val="18"/>
    </w:rPr>
  </w:style>
  <w:style w:type="paragraph" w:styleId="4">
    <w:name w:val="annotation text"/>
    <w:basedOn w:val="1"/>
    <w:link w:val="25"/>
    <w:unhideWhenUsed/>
    <w:qFormat/>
    <w:uiPriority w:val="99"/>
    <w:pPr>
      <w:jc w:val="left"/>
    </w:pPr>
  </w:style>
  <w:style w:type="paragraph" w:styleId="5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26"/>
    <w:unhideWhenUsed/>
    <w:qFormat/>
    <w:uiPriority w:val="99"/>
    <w:rPr>
      <w:b/>
      <w:bCs/>
    </w:rPr>
  </w:style>
  <w:style w:type="character" w:styleId="11">
    <w:name w:val="Hyperlink"/>
    <w:qFormat/>
    <w:uiPriority w:val="99"/>
    <w:rPr>
      <w:rFonts w:cs="Times New Roman"/>
      <w:color w:val="0000FF"/>
      <w:u w:val="single"/>
    </w:rPr>
  </w:style>
  <w:style w:type="character" w:styleId="12">
    <w:name w:val="annotation reference"/>
    <w:basedOn w:val="10"/>
    <w:unhideWhenUsed/>
    <w:qFormat/>
    <w:uiPriority w:val="99"/>
    <w:rPr>
      <w:sz w:val="21"/>
      <w:szCs w:val="21"/>
    </w:rPr>
  </w:style>
  <w:style w:type="paragraph" w:customStyle="1" w:styleId="13">
    <w:name w:val="Char Char 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character" w:customStyle="1" w:styleId="14">
    <w:name w:val="页眉 Char"/>
    <w:link w:val="7"/>
    <w:semiHidden/>
    <w:qFormat/>
    <w:locked/>
    <w:uiPriority w:val="99"/>
    <w:rPr>
      <w:rFonts w:cs="Times New Roman"/>
      <w:kern w:val="2"/>
      <w:sz w:val="18"/>
    </w:rPr>
  </w:style>
  <w:style w:type="character" w:customStyle="1" w:styleId="15">
    <w:name w:val="页脚 Char"/>
    <w:link w:val="6"/>
    <w:qFormat/>
    <w:locked/>
    <w:uiPriority w:val="99"/>
    <w:rPr>
      <w:rFonts w:cs="Times New Roman"/>
      <w:kern w:val="2"/>
      <w:sz w:val="18"/>
    </w:rPr>
  </w:style>
  <w:style w:type="paragraph" w:customStyle="1" w:styleId="16">
    <w:name w:val="样式1 Char Char"/>
    <w:basedOn w:val="1"/>
    <w:next w:val="1"/>
    <w:link w:val="17"/>
    <w:qFormat/>
    <w:uiPriority w:val="99"/>
    <w:pPr>
      <w:spacing w:line="360" w:lineRule="auto"/>
      <w:ind w:firstLine="516" w:firstLineChars="215"/>
    </w:pPr>
    <w:rPr>
      <w:sz w:val="24"/>
      <w:szCs w:val="20"/>
    </w:rPr>
  </w:style>
  <w:style w:type="character" w:customStyle="1" w:styleId="17">
    <w:name w:val="样式1 Char Char Char"/>
    <w:link w:val="16"/>
    <w:qFormat/>
    <w:locked/>
    <w:uiPriority w:val="99"/>
    <w:rPr>
      <w:rFonts w:eastAsia="宋体"/>
      <w:kern w:val="2"/>
      <w:sz w:val="24"/>
      <w:lang w:val="en-US" w:eastAsia="zh-CN"/>
    </w:rPr>
  </w:style>
  <w:style w:type="paragraph" w:customStyle="1" w:styleId="18">
    <w:name w:val="样式1"/>
    <w:basedOn w:val="1"/>
    <w:qFormat/>
    <w:uiPriority w:val="99"/>
    <w:pPr>
      <w:spacing w:line="360" w:lineRule="auto"/>
    </w:pPr>
    <w:rPr>
      <w:rFonts w:ascii="Gungsuh" w:hAnsi="Gungsuh" w:cs="宋体"/>
      <w:kern w:val="0"/>
    </w:rPr>
  </w:style>
  <w:style w:type="paragraph" w:customStyle="1" w:styleId="19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0">
    <w:name w:val="文档结构图 Char"/>
    <w:link w:val="3"/>
    <w:semiHidden/>
    <w:qFormat/>
    <w:locked/>
    <w:uiPriority w:val="99"/>
    <w:rPr>
      <w:rFonts w:ascii="宋体" w:cs="Times New Roman"/>
      <w:kern w:val="2"/>
      <w:sz w:val="18"/>
    </w:rPr>
  </w:style>
  <w:style w:type="paragraph" w:customStyle="1" w:styleId="21">
    <w:name w:val="列出段落1"/>
    <w:basedOn w:val="1"/>
    <w:qFormat/>
    <w:uiPriority w:val="99"/>
    <w:pPr>
      <w:ind w:firstLine="420" w:firstLineChars="200"/>
    </w:pPr>
  </w:style>
  <w:style w:type="paragraph" w:customStyle="1" w:styleId="22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3">
    <w:name w:val="标题 1 Char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4">
    <w:name w:val="批注框文本 Char"/>
    <w:link w:val="5"/>
    <w:semiHidden/>
    <w:qFormat/>
    <w:uiPriority w:val="99"/>
    <w:rPr>
      <w:kern w:val="2"/>
      <w:sz w:val="18"/>
      <w:szCs w:val="18"/>
    </w:rPr>
  </w:style>
  <w:style w:type="character" w:customStyle="1" w:styleId="25">
    <w:name w:val="批注文字 Char"/>
    <w:basedOn w:val="10"/>
    <w:link w:val="4"/>
    <w:semiHidden/>
    <w:qFormat/>
    <w:uiPriority w:val="99"/>
    <w:rPr>
      <w:kern w:val="2"/>
      <w:sz w:val="21"/>
      <w:szCs w:val="24"/>
    </w:rPr>
  </w:style>
  <w:style w:type="character" w:customStyle="1" w:styleId="26">
    <w:name w:val="批注主题 Char"/>
    <w:basedOn w:val="25"/>
    <w:link w:val="8"/>
    <w:semiHidden/>
    <w:qFormat/>
    <w:uiPriority w:val="99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71EAF-1289-42F6-90C4-D6F6378982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GPMOMZ</Company>
  <Pages>4</Pages>
  <Words>2686</Words>
  <Characters>3085</Characters>
  <Lines>2</Lines>
  <Paragraphs>3</Paragraphs>
  <TotalTime>73</TotalTime>
  <ScaleCrop>false</ScaleCrop>
  <LinksUpToDate>false</LinksUpToDate>
  <CharactersWithSpaces>3792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2022-03-08T08:16:00Z</dcterms:created>
  <dc:creator>Administrator</dc:creator>
  <cp:lastModifiedBy>Pc</cp:lastModifiedBy>
  <cp:lastPrinted>2022-06-02T03:22:00Z</cp:lastPrinted>
  <dcterms:modified xsi:type="dcterms:W3CDTF">2022-06-07T03:47:26Z</dcterms:modified>
  <dc:title>货物类采购项目用户需求书内容（通用类）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CE6523A185C34395A764259E813D712E</vt:lpwstr>
  </property>
  <property fmtid="{D5CDD505-2E9C-101B-9397-08002B2CF9AE}" pid="4" name="commondata">
    <vt:lpwstr>eyJoZGlkIjoiNTVhYmU2ZjUwYjk3NWU1MDQxYTI3MGQyNTY4NTJhOWQifQ==</vt:lpwstr>
  </property>
</Properties>
</file>